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25" w:rsidRPr="00B31A9C" w:rsidRDefault="00FA3625" w:rsidP="4E5DF420">
      <w:pPr>
        <w:rPr>
          <w:rFonts w:ascii="Arial" w:hAnsi="Arial" w:cs="Arial"/>
          <w:b/>
          <w:bCs/>
          <w:sz w:val="22"/>
          <w:szCs w:val="22"/>
        </w:rPr>
      </w:pPr>
      <w:bookmarkStart w:id="0" w:name="_GoBack"/>
      <w:bookmarkEnd w:id="0"/>
      <w:r w:rsidRPr="4E5DF420">
        <w:rPr>
          <w:rFonts w:ascii="Arial" w:hAnsi="Arial" w:cs="Arial"/>
          <w:b/>
          <w:bCs/>
          <w:sz w:val="22"/>
          <w:szCs w:val="22"/>
        </w:rPr>
        <w:t>Introducción</w:t>
      </w:r>
    </w:p>
    <w:p w:rsidR="00FA3625" w:rsidRDefault="00FA3625" w:rsidP="004C0CF0">
      <w:pPr>
        <w:rPr>
          <w:rFonts w:ascii="Arial" w:hAnsi="Arial" w:cs="Arial"/>
          <w:sz w:val="20"/>
          <w:szCs w:val="20"/>
        </w:rPr>
      </w:pPr>
    </w:p>
    <w:p w:rsidR="00FA3625" w:rsidRPr="006814BE" w:rsidRDefault="00FA3625" w:rsidP="004C0CF0">
      <w:pPr>
        <w:jc w:val="both"/>
        <w:rPr>
          <w:rFonts w:ascii="Arial" w:hAnsi="Arial" w:cs="Arial"/>
          <w:sz w:val="20"/>
          <w:szCs w:val="20"/>
        </w:rPr>
      </w:pPr>
      <w:r>
        <w:rPr>
          <w:rFonts w:ascii="Arial" w:hAnsi="Arial" w:cs="Arial"/>
          <w:sz w:val="20"/>
          <w:szCs w:val="20"/>
        </w:rPr>
        <w:t>El jueves 28/07/2016</w:t>
      </w:r>
      <w:r w:rsidRPr="4E5DF420">
        <w:rPr>
          <w:rFonts w:ascii="Arial" w:hAnsi="Arial" w:cs="Arial"/>
          <w:sz w:val="20"/>
          <w:szCs w:val="20"/>
        </w:rPr>
        <w:t>, entre las 12.51 y 18.01 horas (comprendiendo 5 horas 10 minutos), un equipo de integrantes del Observatorio Social del Transporte (OST) realizó una toma de frecuencias y otros parámetros de interés sobre 26 líneas del Transporte Urbano de Pasajeros (TUP) que circulan por la intersección de las calles Santa Fe y Vera Mujica, según el siguiente detalle:</w:t>
      </w:r>
    </w:p>
    <w:p w:rsidR="00FA3625" w:rsidRPr="006814BE" w:rsidRDefault="00FA3625" w:rsidP="00500B7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8"/>
        <w:gridCol w:w="1080"/>
        <w:gridCol w:w="5812"/>
      </w:tblGrid>
      <w:tr w:rsidR="00FA3625" w:rsidRPr="00F17003" w:rsidTr="4E5DF420">
        <w:trPr>
          <w:cantSplit/>
          <w:tblHeader/>
          <w:jc w:val="center"/>
        </w:trPr>
        <w:tc>
          <w:tcPr>
            <w:tcW w:w="3098"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Empresa</w:t>
            </w:r>
          </w:p>
        </w:tc>
        <w:tc>
          <w:tcPr>
            <w:tcW w:w="1080"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Cantidad Líneas</w:t>
            </w:r>
          </w:p>
        </w:tc>
        <w:tc>
          <w:tcPr>
            <w:tcW w:w="5812"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Identificación</w:t>
            </w:r>
          </w:p>
        </w:tc>
      </w:tr>
      <w:tr w:rsidR="00FA3625" w:rsidRPr="00F17003" w:rsidTr="4E5DF420">
        <w:trPr>
          <w:cantSplit/>
          <w:jc w:val="center"/>
        </w:trPr>
        <w:tc>
          <w:tcPr>
            <w:tcW w:w="3098" w:type="dxa"/>
            <w:vAlign w:val="center"/>
          </w:tcPr>
          <w:p w:rsidR="00FA3625" w:rsidRPr="00F17003" w:rsidRDefault="00FA3625" w:rsidP="4E5DF420">
            <w:pPr>
              <w:rPr>
                <w:rFonts w:ascii="Arial" w:hAnsi="Arial" w:cs="Arial"/>
                <w:sz w:val="20"/>
                <w:szCs w:val="20"/>
              </w:rPr>
            </w:pPr>
            <w:r w:rsidRPr="4E5DF420">
              <w:rPr>
                <w:rFonts w:ascii="Arial" w:hAnsi="Arial" w:cs="Arial"/>
                <w:sz w:val="20"/>
                <w:szCs w:val="20"/>
              </w:rPr>
              <w:t>Empresa Mixta de Transporte Rosario S.A. (EMTR)</w:t>
            </w:r>
          </w:p>
        </w:tc>
        <w:tc>
          <w:tcPr>
            <w:tcW w:w="1080"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4</w:t>
            </w:r>
          </w:p>
        </w:tc>
        <w:tc>
          <w:tcPr>
            <w:tcW w:w="5812" w:type="dxa"/>
            <w:vAlign w:val="center"/>
          </w:tcPr>
          <w:p w:rsidR="00FA3625" w:rsidRPr="00F17003" w:rsidRDefault="00FA3625" w:rsidP="4E5DF420">
            <w:pPr>
              <w:rPr>
                <w:rFonts w:ascii="Arial" w:hAnsi="Arial" w:cs="Arial"/>
                <w:sz w:val="20"/>
                <w:szCs w:val="20"/>
              </w:rPr>
            </w:pPr>
            <w:r w:rsidRPr="4E5DF420">
              <w:rPr>
                <w:rFonts w:ascii="Arial" w:hAnsi="Arial" w:cs="Arial"/>
                <w:sz w:val="20"/>
                <w:szCs w:val="20"/>
              </w:rPr>
              <w:t>115, 115 Aeropuerto, 138, 139</w:t>
            </w:r>
          </w:p>
        </w:tc>
      </w:tr>
      <w:tr w:rsidR="00FA3625" w:rsidRPr="00F17003" w:rsidTr="4E5DF420">
        <w:trPr>
          <w:cantSplit/>
          <w:jc w:val="center"/>
        </w:trPr>
        <w:tc>
          <w:tcPr>
            <w:tcW w:w="3098" w:type="dxa"/>
            <w:vAlign w:val="center"/>
          </w:tcPr>
          <w:p w:rsidR="00FA3625" w:rsidRPr="00F17003" w:rsidRDefault="00FA3625" w:rsidP="4E5DF420">
            <w:pPr>
              <w:rPr>
                <w:rFonts w:ascii="Arial" w:hAnsi="Arial" w:cs="Arial"/>
                <w:sz w:val="20"/>
                <w:szCs w:val="20"/>
              </w:rPr>
            </w:pPr>
            <w:r w:rsidRPr="4E5DF420">
              <w:rPr>
                <w:rFonts w:ascii="Arial" w:hAnsi="Arial" w:cs="Arial"/>
                <w:sz w:val="20"/>
                <w:szCs w:val="20"/>
              </w:rPr>
              <w:t>Rosario Bus</w:t>
            </w:r>
          </w:p>
        </w:tc>
        <w:tc>
          <w:tcPr>
            <w:tcW w:w="1080"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13</w:t>
            </w:r>
          </w:p>
        </w:tc>
        <w:tc>
          <w:tcPr>
            <w:tcW w:w="5812" w:type="dxa"/>
            <w:vAlign w:val="center"/>
          </w:tcPr>
          <w:p w:rsidR="00FA3625" w:rsidRPr="00F17003" w:rsidRDefault="00FA3625" w:rsidP="4E5DF420">
            <w:pPr>
              <w:rPr>
                <w:rFonts w:ascii="Arial" w:hAnsi="Arial" w:cs="Arial"/>
                <w:sz w:val="20"/>
                <w:szCs w:val="20"/>
              </w:rPr>
            </w:pPr>
            <w:r w:rsidRPr="4E5DF420">
              <w:rPr>
                <w:rFonts w:ascii="Arial" w:hAnsi="Arial" w:cs="Arial"/>
                <w:sz w:val="20"/>
                <w:szCs w:val="20"/>
              </w:rPr>
              <w:t>101 Negra, 101 Roja, 102 Negra, 107 Negra, 107 Roja,       128 Negra, 128 Roja, 142 Negra, 142 Roja, 143 Negra,       143 Roja, 146 Negra, 146 Roja</w:t>
            </w:r>
          </w:p>
        </w:tc>
      </w:tr>
      <w:tr w:rsidR="00FA3625" w:rsidRPr="00F17003" w:rsidTr="4E5DF420">
        <w:trPr>
          <w:cantSplit/>
          <w:jc w:val="center"/>
        </w:trPr>
        <w:tc>
          <w:tcPr>
            <w:tcW w:w="3098" w:type="dxa"/>
            <w:vAlign w:val="center"/>
          </w:tcPr>
          <w:p w:rsidR="00FA3625" w:rsidRPr="00F17003" w:rsidRDefault="00FA3625" w:rsidP="4E5DF420">
            <w:pPr>
              <w:rPr>
                <w:rFonts w:ascii="Arial" w:hAnsi="Arial" w:cs="Arial"/>
                <w:sz w:val="20"/>
                <w:szCs w:val="20"/>
              </w:rPr>
            </w:pPr>
            <w:r w:rsidRPr="4E5DF420">
              <w:rPr>
                <w:rFonts w:ascii="Arial" w:hAnsi="Arial" w:cs="Arial"/>
                <w:sz w:val="20"/>
                <w:szCs w:val="20"/>
              </w:rPr>
              <w:t>Sociedad del Estado Municipal para el Transporte Urbano de Rosario (SEMTUR)</w:t>
            </w:r>
          </w:p>
        </w:tc>
        <w:tc>
          <w:tcPr>
            <w:tcW w:w="1080"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9</w:t>
            </w:r>
          </w:p>
        </w:tc>
        <w:tc>
          <w:tcPr>
            <w:tcW w:w="5812" w:type="dxa"/>
            <w:vAlign w:val="center"/>
          </w:tcPr>
          <w:p w:rsidR="00FA3625" w:rsidRPr="00F17003" w:rsidRDefault="00FA3625" w:rsidP="4E5DF420">
            <w:pPr>
              <w:rPr>
                <w:rFonts w:ascii="Arial" w:hAnsi="Arial" w:cs="Arial"/>
                <w:sz w:val="20"/>
                <w:szCs w:val="20"/>
              </w:rPr>
            </w:pPr>
            <w:r w:rsidRPr="4E5DF420">
              <w:rPr>
                <w:rFonts w:ascii="Arial" w:hAnsi="Arial" w:cs="Arial"/>
                <w:sz w:val="20"/>
                <w:szCs w:val="20"/>
              </w:rPr>
              <w:t>113, 116, 120, 121, 122 Roja, 122 Verde, 133 Negra,          133 Verde, Ronda del Centro</w:t>
            </w:r>
          </w:p>
        </w:tc>
      </w:tr>
    </w:tbl>
    <w:p w:rsidR="00FA3625" w:rsidRPr="006814BE" w:rsidRDefault="00FA3625" w:rsidP="00500B7B">
      <w:pPr>
        <w:rPr>
          <w:rFonts w:ascii="Arial" w:hAnsi="Arial" w:cs="Arial"/>
          <w:sz w:val="20"/>
          <w:szCs w:val="20"/>
        </w:rPr>
      </w:pPr>
    </w:p>
    <w:p w:rsidR="00FA3625" w:rsidRPr="006814BE" w:rsidRDefault="00FA3625" w:rsidP="004C0CF0">
      <w:pPr>
        <w:jc w:val="both"/>
        <w:rPr>
          <w:rFonts w:ascii="Arial" w:hAnsi="Arial" w:cs="Arial"/>
          <w:sz w:val="20"/>
          <w:szCs w:val="20"/>
        </w:rPr>
      </w:pPr>
      <w:r w:rsidRPr="4E5DF420">
        <w:rPr>
          <w:rFonts w:ascii="Arial" w:hAnsi="Arial" w:cs="Arial"/>
          <w:sz w:val="20"/>
          <w:szCs w:val="20"/>
        </w:rPr>
        <w:t xml:space="preserve">El conjunto de las líneas relevadas nuclea al 46,5% del parque de unidades en servicio del TUP según los horarios correspondientes a la temporada de invierno del año corriente, publicados por el Ente de </w:t>
      </w:r>
      <w:smartTag w:uri="urn:schemas-microsoft-com:office:smarttags" w:element="PersonName">
        <w:smartTagPr>
          <w:attr w:name="ProductID" w:val="la Movilidad"/>
        </w:smartTagPr>
        <w:r w:rsidRPr="4E5DF420">
          <w:rPr>
            <w:rFonts w:ascii="Arial" w:hAnsi="Arial" w:cs="Arial"/>
            <w:sz w:val="20"/>
            <w:szCs w:val="20"/>
          </w:rPr>
          <w:t>la Movilidad</w:t>
        </w:r>
      </w:smartTag>
      <w:r w:rsidRPr="4E5DF420">
        <w:rPr>
          <w:rFonts w:ascii="Arial" w:hAnsi="Arial" w:cs="Arial"/>
          <w:sz w:val="20"/>
          <w:szCs w:val="20"/>
        </w:rPr>
        <w:t xml:space="preserve"> de Rosario (EMR) en su sitio Internet.</w:t>
      </w:r>
    </w:p>
    <w:p w:rsidR="00FA3625" w:rsidRDefault="00FA3625" w:rsidP="00AE51E0">
      <w:pPr>
        <w:ind w:firstLine="180"/>
        <w:rPr>
          <w:rFonts w:ascii="Arial" w:hAnsi="Arial" w:cs="Arial"/>
          <w:sz w:val="20"/>
          <w:szCs w:val="20"/>
        </w:rPr>
      </w:pPr>
    </w:p>
    <w:p w:rsidR="00FA3625" w:rsidRPr="006814BE" w:rsidRDefault="00FA3625" w:rsidP="004C0CF0">
      <w:pPr>
        <w:jc w:val="both"/>
        <w:rPr>
          <w:rFonts w:ascii="Arial" w:hAnsi="Arial" w:cs="Arial"/>
          <w:sz w:val="20"/>
          <w:szCs w:val="20"/>
        </w:rPr>
      </w:pPr>
      <w:r w:rsidRPr="4E5DF420">
        <w:rPr>
          <w:rFonts w:ascii="Arial" w:hAnsi="Arial" w:cs="Arial"/>
          <w:sz w:val="20"/>
          <w:szCs w:val="20"/>
        </w:rPr>
        <w:t>A continuación se desarrolla el análisis de los resultados encontrados durante el relevamiento, acompañados por comentarios y aclaraciones pertinentes.</w:t>
      </w:r>
    </w:p>
    <w:p w:rsidR="00FA3625" w:rsidRDefault="00FA3625" w:rsidP="00AE51E0">
      <w:pPr>
        <w:ind w:firstLine="180"/>
        <w:rPr>
          <w:rFonts w:ascii="Arial" w:hAnsi="Arial" w:cs="Arial"/>
          <w:sz w:val="20"/>
          <w:szCs w:val="20"/>
        </w:rPr>
      </w:pPr>
    </w:p>
    <w:p w:rsidR="00FA3625" w:rsidRDefault="00FA3625" w:rsidP="00AE51E0">
      <w:pPr>
        <w:ind w:firstLine="180"/>
        <w:rPr>
          <w:rFonts w:ascii="Arial" w:hAnsi="Arial" w:cs="Arial"/>
          <w:sz w:val="20"/>
          <w:szCs w:val="20"/>
        </w:rPr>
      </w:pPr>
    </w:p>
    <w:p w:rsidR="00FA3625" w:rsidRPr="00B31A9C" w:rsidRDefault="00FA3625" w:rsidP="4E5DF420">
      <w:pPr>
        <w:rPr>
          <w:rFonts w:ascii="Arial" w:hAnsi="Arial" w:cs="Arial"/>
          <w:b/>
          <w:bCs/>
          <w:sz w:val="22"/>
          <w:szCs w:val="22"/>
        </w:rPr>
      </w:pPr>
      <w:r w:rsidRPr="4E5DF420">
        <w:rPr>
          <w:rFonts w:ascii="Arial" w:hAnsi="Arial" w:cs="Arial"/>
          <w:b/>
          <w:bCs/>
          <w:sz w:val="22"/>
          <w:szCs w:val="22"/>
        </w:rPr>
        <w:t>Cantidad de unidades en servicio</w:t>
      </w:r>
    </w:p>
    <w:p w:rsidR="00FA3625" w:rsidRDefault="00FA3625" w:rsidP="00AE51E0">
      <w:pPr>
        <w:ind w:firstLine="180"/>
        <w:rPr>
          <w:rFonts w:ascii="Arial" w:hAnsi="Arial" w:cs="Arial"/>
          <w:sz w:val="20"/>
          <w:szCs w:val="20"/>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1"/>
        <w:gridCol w:w="2835"/>
        <w:gridCol w:w="2571"/>
        <w:gridCol w:w="1184"/>
        <w:gridCol w:w="1184"/>
      </w:tblGrid>
      <w:tr w:rsidR="00FA3625" w:rsidRPr="00F17003" w:rsidTr="4E5DF420">
        <w:trPr>
          <w:cantSplit/>
          <w:tblHeader/>
          <w:jc w:val="center"/>
        </w:trPr>
        <w:tc>
          <w:tcPr>
            <w:tcW w:w="1891"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Empresa</w:t>
            </w:r>
          </w:p>
        </w:tc>
        <w:tc>
          <w:tcPr>
            <w:tcW w:w="2835"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Unidades previstas según horarios de invierno</w:t>
            </w:r>
          </w:p>
        </w:tc>
        <w:tc>
          <w:tcPr>
            <w:tcW w:w="2571"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Unidades efectivamente relevadas en servicio</w:t>
            </w:r>
          </w:p>
        </w:tc>
        <w:tc>
          <w:tcPr>
            <w:tcW w:w="1184"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Faltantes</w:t>
            </w:r>
          </w:p>
        </w:tc>
        <w:tc>
          <w:tcPr>
            <w:tcW w:w="1184"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En servicio</w:t>
            </w:r>
          </w:p>
        </w:tc>
      </w:tr>
      <w:tr w:rsidR="00FA3625" w:rsidRPr="00F17003" w:rsidTr="4E5DF420">
        <w:trPr>
          <w:cantSplit/>
          <w:jc w:val="center"/>
        </w:trPr>
        <w:tc>
          <w:tcPr>
            <w:tcW w:w="1891" w:type="dxa"/>
            <w:vAlign w:val="center"/>
          </w:tcPr>
          <w:p w:rsidR="00FA3625" w:rsidRPr="00F17003" w:rsidRDefault="00FA3625" w:rsidP="4E5DF420">
            <w:pPr>
              <w:ind w:left="-57"/>
              <w:rPr>
                <w:rFonts w:ascii="Arial" w:hAnsi="Arial" w:cs="Arial"/>
                <w:sz w:val="20"/>
                <w:szCs w:val="20"/>
              </w:rPr>
            </w:pPr>
            <w:r w:rsidRPr="4E5DF420">
              <w:rPr>
                <w:rFonts w:ascii="Arial" w:hAnsi="Arial" w:cs="Arial"/>
                <w:sz w:val="20"/>
                <w:szCs w:val="20"/>
              </w:rPr>
              <w:t>EMTR</w:t>
            </w:r>
          </w:p>
        </w:tc>
        <w:tc>
          <w:tcPr>
            <w:tcW w:w="2835"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43</w:t>
            </w:r>
          </w:p>
        </w:tc>
        <w:tc>
          <w:tcPr>
            <w:tcW w:w="2571"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40</w:t>
            </w:r>
          </w:p>
        </w:tc>
        <w:tc>
          <w:tcPr>
            <w:tcW w:w="1184"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3</w:t>
            </w:r>
          </w:p>
        </w:tc>
        <w:tc>
          <w:tcPr>
            <w:tcW w:w="1184"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93,0 %</w:t>
            </w:r>
          </w:p>
        </w:tc>
      </w:tr>
      <w:tr w:rsidR="00FA3625" w:rsidRPr="00F17003" w:rsidTr="4E5DF420">
        <w:trPr>
          <w:cantSplit/>
          <w:jc w:val="center"/>
        </w:trPr>
        <w:tc>
          <w:tcPr>
            <w:tcW w:w="1891" w:type="dxa"/>
            <w:vAlign w:val="center"/>
          </w:tcPr>
          <w:p w:rsidR="00FA3625" w:rsidRPr="00F17003" w:rsidRDefault="00FA3625" w:rsidP="4E5DF420">
            <w:pPr>
              <w:ind w:left="-57"/>
              <w:rPr>
                <w:rFonts w:ascii="Arial" w:hAnsi="Arial" w:cs="Arial"/>
                <w:sz w:val="20"/>
                <w:szCs w:val="20"/>
              </w:rPr>
            </w:pPr>
            <w:r w:rsidRPr="4E5DF420">
              <w:rPr>
                <w:rFonts w:ascii="Arial" w:hAnsi="Arial" w:cs="Arial"/>
                <w:sz w:val="20"/>
                <w:szCs w:val="20"/>
              </w:rPr>
              <w:t>Rosario Bus</w:t>
            </w:r>
          </w:p>
        </w:tc>
        <w:tc>
          <w:tcPr>
            <w:tcW w:w="2835"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175</w:t>
            </w:r>
          </w:p>
        </w:tc>
        <w:tc>
          <w:tcPr>
            <w:tcW w:w="2571"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163</w:t>
            </w:r>
          </w:p>
        </w:tc>
        <w:tc>
          <w:tcPr>
            <w:tcW w:w="1184"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12</w:t>
            </w:r>
          </w:p>
        </w:tc>
        <w:tc>
          <w:tcPr>
            <w:tcW w:w="1184"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93,1 %</w:t>
            </w:r>
          </w:p>
        </w:tc>
      </w:tr>
      <w:tr w:rsidR="00FA3625" w:rsidRPr="00F17003" w:rsidTr="4E5DF420">
        <w:trPr>
          <w:cantSplit/>
          <w:jc w:val="center"/>
        </w:trPr>
        <w:tc>
          <w:tcPr>
            <w:tcW w:w="1891" w:type="dxa"/>
            <w:vAlign w:val="center"/>
          </w:tcPr>
          <w:p w:rsidR="00FA3625" w:rsidRPr="00F17003" w:rsidRDefault="00FA3625" w:rsidP="4E5DF420">
            <w:pPr>
              <w:ind w:left="-57"/>
              <w:rPr>
                <w:rFonts w:ascii="Arial" w:hAnsi="Arial" w:cs="Arial"/>
                <w:sz w:val="20"/>
                <w:szCs w:val="20"/>
              </w:rPr>
            </w:pPr>
            <w:r w:rsidRPr="4E5DF420">
              <w:rPr>
                <w:rFonts w:ascii="Arial" w:hAnsi="Arial" w:cs="Arial"/>
                <w:sz w:val="20"/>
                <w:szCs w:val="20"/>
              </w:rPr>
              <w:t>SEMTUR</w:t>
            </w:r>
          </w:p>
        </w:tc>
        <w:tc>
          <w:tcPr>
            <w:tcW w:w="2835"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100</w:t>
            </w:r>
          </w:p>
        </w:tc>
        <w:tc>
          <w:tcPr>
            <w:tcW w:w="2571"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96,5</w:t>
            </w:r>
            <w:r w:rsidRPr="4E5DF420">
              <w:rPr>
                <w:rStyle w:val="FootnoteReference"/>
                <w:rFonts w:ascii="Arial" w:hAnsi="Arial" w:cs="Arial"/>
                <w:sz w:val="20"/>
                <w:szCs w:val="20"/>
              </w:rPr>
              <w:footnoteReference w:id="1"/>
            </w:r>
          </w:p>
        </w:tc>
        <w:tc>
          <w:tcPr>
            <w:tcW w:w="1184"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3,5</w:t>
            </w:r>
          </w:p>
        </w:tc>
        <w:tc>
          <w:tcPr>
            <w:tcW w:w="1184"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96,5 %</w:t>
            </w:r>
          </w:p>
        </w:tc>
      </w:tr>
      <w:tr w:rsidR="00FA3625" w:rsidRPr="00F17003" w:rsidTr="4E5DF420">
        <w:trPr>
          <w:cantSplit/>
          <w:jc w:val="center"/>
        </w:trPr>
        <w:tc>
          <w:tcPr>
            <w:tcW w:w="1891" w:type="dxa"/>
            <w:vAlign w:val="center"/>
          </w:tcPr>
          <w:p w:rsidR="00FA3625" w:rsidRPr="00F17003" w:rsidRDefault="00FA3625" w:rsidP="4E5DF420">
            <w:pPr>
              <w:ind w:left="-57"/>
              <w:jc w:val="right"/>
              <w:rPr>
                <w:rFonts w:ascii="Arial" w:hAnsi="Arial" w:cs="Arial"/>
                <w:b/>
                <w:bCs/>
                <w:sz w:val="20"/>
                <w:szCs w:val="20"/>
              </w:rPr>
            </w:pPr>
            <w:r w:rsidRPr="4E5DF420">
              <w:rPr>
                <w:rFonts w:ascii="Arial" w:hAnsi="Arial" w:cs="Arial"/>
                <w:b/>
                <w:bCs/>
                <w:sz w:val="20"/>
                <w:szCs w:val="20"/>
              </w:rPr>
              <w:t>Total relevado</w:t>
            </w:r>
          </w:p>
        </w:tc>
        <w:tc>
          <w:tcPr>
            <w:tcW w:w="2835"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318</w:t>
            </w:r>
          </w:p>
        </w:tc>
        <w:tc>
          <w:tcPr>
            <w:tcW w:w="2571"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299,5</w:t>
            </w:r>
          </w:p>
        </w:tc>
        <w:tc>
          <w:tcPr>
            <w:tcW w:w="1184"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18,5</w:t>
            </w:r>
          </w:p>
        </w:tc>
        <w:tc>
          <w:tcPr>
            <w:tcW w:w="1184"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94,2 %</w:t>
            </w:r>
          </w:p>
        </w:tc>
      </w:tr>
    </w:tbl>
    <w:p w:rsidR="00FA3625" w:rsidRDefault="00FA3625" w:rsidP="00B96003">
      <w:pPr>
        <w:rPr>
          <w:rFonts w:ascii="Arial" w:hAnsi="Arial" w:cs="Arial"/>
          <w:sz w:val="20"/>
          <w:szCs w:val="20"/>
        </w:rPr>
      </w:pPr>
    </w:p>
    <w:p w:rsidR="00FA3625" w:rsidRDefault="00FA3625" w:rsidP="004C0CF0">
      <w:pPr>
        <w:jc w:val="both"/>
        <w:rPr>
          <w:rFonts w:ascii="Arial" w:hAnsi="Arial" w:cs="Arial"/>
          <w:sz w:val="20"/>
          <w:szCs w:val="20"/>
        </w:rPr>
      </w:pPr>
      <w:r w:rsidRPr="4E5DF420">
        <w:rPr>
          <w:rFonts w:ascii="Arial" w:hAnsi="Arial" w:cs="Arial"/>
          <w:sz w:val="20"/>
          <w:szCs w:val="20"/>
        </w:rPr>
        <w:t xml:space="preserve">En cuanto a la distribución por empresas y líneas, en el caso de </w:t>
      </w:r>
      <w:smartTag w:uri="urn:schemas-microsoft-com:office:smarttags" w:element="PersonName">
        <w:smartTagPr>
          <w:attr w:name="ProductID" w:val="la EMTR"/>
        </w:smartTagPr>
        <w:r w:rsidRPr="4E5DF420">
          <w:rPr>
            <w:rFonts w:ascii="Arial" w:hAnsi="Arial" w:cs="Arial"/>
            <w:sz w:val="20"/>
            <w:szCs w:val="20"/>
          </w:rPr>
          <w:t>la EMTR</w:t>
        </w:r>
      </w:smartTag>
      <w:r w:rsidRPr="4E5DF420">
        <w:rPr>
          <w:rFonts w:ascii="Arial" w:hAnsi="Arial" w:cs="Arial"/>
          <w:sz w:val="20"/>
          <w:szCs w:val="20"/>
        </w:rPr>
        <w:t xml:space="preserve"> las 3 unidades faltantes correspondieron a </w:t>
      </w:r>
      <w:smartTag w:uri="urn:schemas-microsoft-com:office:smarttags" w:element="PersonName">
        <w:smartTagPr>
          <w:attr w:name="ProductID" w:val="la Línea"/>
        </w:smartTagPr>
        <w:r w:rsidRPr="4E5DF420">
          <w:rPr>
            <w:rFonts w:ascii="Arial" w:hAnsi="Arial" w:cs="Arial"/>
            <w:sz w:val="20"/>
            <w:szCs w:val="20"/>
          </w:rPr>
          <w:t>la Línea</w:t>
        </w:r>
      </w:smartTag>
      <w:r w:rsidRPr="4E5DF420">
        <w:rPr>
          <w:rFonts w:ascii="Arial" w:hAnsi="Arial" w:cs="Arial"/>
          <w:sz w:val="20"/>
          <w:szCs w:val="20"/>
        </w:rPr>
        <w:t xml:space="preserve"> 115 (20 previstas / 17 relevadas / 85% en servicio); en el caso de Rosario Bus se destacó el faltante de 4 unidades en </w:t>
      </w:r>
      <w:smartTag w:uri="urn:schemas-microsoft-com:office:smarttags" w:element="PersonName">
        <w:smartTagPr>
          <w:attr w:name="ProductID" w:val="la Línea"/>
        </w:smartTagPr>
        <w:r w:rsidRPr="4E5DF420">
          <w:rPr>
            <w:rFonts w:ascii="Arial" w:hAnsi="Arial" w:cs="Arial"/>
            <w:sz w:val="20"/>
            <w:szCs w:val="20"/>
          </w:rPr>
          <w:t>la Línea</w:t>
        </w:r>
      </w:smartTag>
      <w:r w:rsidRPr="4E5DF420">
        <w:rPr>
          <w:rFonts w:ascii="Arial" w:hAnsi="Arial" w:cs="Arial"/>
          <w:sz w:val="20"/>
          <w:szCs w:val="20"/>
        </w:rPr>
        <w:t xml:space="preserve"> 142 Negra (21 previstas / 17 relevadas / 81% en servicio), de 2 en Línea 146 Roja (13 previstas / 11 relevadas / 85% en servicio) y de 2 en Línea 107 Negra (15 previstas / 13 relevadas / 87% en servicio), y en SEMTUR el único caso destacable ocurrió en </w:t>
      </w:r>
      <w:smartTag w:uri="urn:schemas-microsoft-com:office:smarttags" w:element="PersonName">
        <w:smartTagPr>
          <w:attr w:name="ProductID" w:val="la Línea"/>
        </w:smartTagPr>
        <w:r w:rsidRPr="4E5DF420">
          <w:rPr>
            <w:rFonts w:ascii="Arial" w:hAnsi="Arial" w:cs="Arial"/>
            <w:sz w:val="20"/>
            <w:szCs w:val="20"/>
          </w:rPr>
          <w:t>la Línea</w:t>
        </w:r>
      </w:smartTag>
      <w:r w:rsidRPr="4E5DF420">
        <w:rPr>
          <w:rFonts w:ascii="Arial" w:hAnsi="Arial" w:cs="Arial"/>
          <w:sz w:val="20"/>
          <w:szCs w:val="20"/>
        </w:rPr>
        <w:t xml:space="preserve"> 120 (10 previstas / 8,5 relevadas / 85% en servicio).</w:t>
      </w:r>
    </w:p>
    <w:p w:rsidR="00FA3625" w:rsidRDefault="00FA3625" w:rsidP="004C0CF0">
      <w:pPr>
        <w:jc w:val="both"/>
        <w:rPr>
          <w:rFonts w:ascii="Arial" w:hAnsi="Arial" w:cs="Arial"/>
          <w:sz w:val="20"/>
          <w:szCs w:val="20"/>
        </w:rPr>
      </w:pPr>
      <w:r w:rsidRPr="4E5DF420">
        <w:rPr>
          <w:rFonts w:ascii="Arial" w:hAnsi="Arial" w:cs="Arial"/>
          <w:sz w:val="20"/>
          <w:szCs w:val="20"/>
        </w:rPr>
        <w:t xml:space="preserve">En las demás líneas relevadas los faltantes no superaron a una unidad en cada caso, hechos que generalmente pueden adjudicarse a desperfectos técnicos, falta de conductores o de relevos, incidentes de tránsito, etc. </w:t>
      </w:r>
    </w:p>
    <w:p w:rsidR="00FA3625" w:rsidRDefault="00FA3625" w:rsidP="004C0CF0">
      <w:pPr>
        <w:jc w:val="both"/>
        <w:rPr>
          <w:rFonts w:ascii="Arial" w:hAnsi="Arial" w:cs="Arial"/>
          <w:sz w:val="20"/>
          <w:szCs w:val="20"/>
        </w:rPr>
      </w:pPr>
      <w:r w:rsidRPr="4E5DF420">
        <w:rPr>
          <w:rFonts w:ascii="Arial" w:hAnsi="Arial" w:cs="Arial"/>
          <w:sz w:val="20"/>
          <w:szCs w:val="20"/>
        </w:rPr>
        <w:t xml:space="preserve">Hubo también varios casos de líneas atendidas por la totalidad de las unidades previstas (115 Aeropuerto, 138 y 139 de </w:t>
      </w:r>
      <w:smartTag w:uri="urn:schemas-microsoft-com:office:smarttags" w:element="PersonName">
        <w:smartTagPr>
          <w:attr w:name="ProductID" w:val="la EMTR"/>
        </w:smartTagPr>
        <w:r w:rsidRPr="4E5DF420">
          <w:rPr>
            <w:rFonts w:ascii="Arial" w:hAnsi="Arial" w:cs="Arial"/>
            <w:sz w:val="20"/>
            <w:szCs w:val="20"/>
          </w:rPr>
          <w:t>la EMTR</w:t>
        </w:r>
      </w:smartTag>
      <w:r w:rsidRPr="4E5DF420">
        <w:rPr>
          <w:rFonts w:ascii="Arial" w:hAnsi="Arial" w:cs="Arial"/>
          <w:sz w:val="20"/>
          <w:szCs w:val="20"/>
        </w:rPr>
        <w:t>; 102 Negra, 128 Roja, 142 Roja y 146 Negra de Rosario Bus, y 113, 116, 121, 133 Verde y Ronda del Centro de SEMTUR).</w:t>
      </w:r>
    </w:p>
    <w:p w:rsidR="00FA3625" w:rsidRDefault="00FA3625" w:rsidP="00AE51E0">
      <w:pPr>
        <w:ind w:firstLine="180"/>
        <w:rPr>
          <w:rFonts w:ascii="Arial" w:hAnsi="Arial" w:cs="Arial"/>
          <w:sz w:val="20"/>
          <w:szCs w:val="20"/>
        </w:rPr>
      </w:pPr>
    </w:p>
    <w:p w:rsidR="00FA3625" w:rsidRDefault="00FA3625" w:rsidP="00AE51E0">
      <w:pPr>
        <w:ind w:firstLine="180"/>
        <w:rPr>
          <w:rFonts w:ascii="Arial" w:hAnsi="Arial" w:cs="Arial"/>
          <w:sz w:val="20"/>
          <w:szCs w:val="20"/>
        </w:rPr>
      </w:pPr>
    </w:p>
    <w:p w:rsidR="00FA3625" w:rsidRPr="00B31A9C" w:rsidRDefault="00FA3625" w:rsidP="4E5DF420">
      <w:pPr>
        <w:rPr>
          <w:rFonts w:ascii="Arial" w:hAnsi="Arial" w:cs="Arial"/>
          <w:b/>
          <w:bCs/>
          <w:sz w:val="22"/>
          <w:szCs w:val="22"/>
        </w:rPr>
      </w:pPr>
      <w:r w:rsidRPr="4E5DF420">
        <w:rPr>
          <w:rFonts w:ascii="Arial" w:hAnsi="Arial" w:cs="Arial"/>
          <w:b/>
          <w:bCs/>
          <w:sz w:val="22"/>
          <w:szCs w:val="22"/>
        </w:rPr>
        <w:t>Frecuencias relevadas - Su regularidad</w:t>
      </w:r>
    </w:p>
    <w:p w:rsidR="00FA3625" w:rsidRDefault="00FA3625" w:rsidP="004C0CF0">
      <w:pPr>
        <w:jc w:val="both"/>
        <w:rPr>
          <w:rFonts w:ascii="Arial" w:hAnsi="Arial" w:cs="Arial"/>
          <w:sz w:val="20"/>
          <w:szCs w:val="20"/>
        </w:rPr>
      </w:pPr>
      <w:r w:rsidRPr="4E5DF420">
        <w:rPr>
          <w:rFonts w:ascii="Arial" w:hAnsi="Arial" w:cs="Arial"/>
          <w:sz w:val="20"/>
          <w:szCs w:val="20"/>
        </w:rPr>
        <w:t>Se presentan en la tabla que sigue a continuación, las frecuencias -ordenadas de menor a mayor- registradas durante la jornada señalada, junto con los indicadores de tiempos máximos y mínimos entre unidades, la desviación típica o estándar</w:t>
      </w:r>
      <w:r w:rsidRPr="4E5DF420">
        <w:rPr>
          <w:rStyle w:val="FootnoteReference"/>
          <w:rFonts w:ascii="Arial" w:hAnsi="Arial" w:cs="Arial"/>
          <w:sz w:val="20"/>
          <w:szCs w:val="20"/>
        </w:rPr>
        <w:footnoteReference w:id="2"/>
      </w:r>
      <w:r w:rsidRPr="4E5DF420">
        <w:rPr>
          <w:rFonts w:ascii="Arial" w:hAnsi="Arial" w:cs="Arial"/>
          <w:sz w:val="20"/>
          <w:szCs w:val="20"/>
        </w:rPr>
        <w:t>, y la proporción de ésta sobre la frecuencia promedio para cada caso.</w:t>
      </w:r>
    </w:p>
    <w:p w:rsidR="00FA3625" w:rsidRDefault="00FA3625" w:rsidP="00A81C30">
      <w:pPr>
        <w:ind w:firstLine="180"/>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26"/>
        <w:gridCol w:w="1114"/>
        <w:gridCol w:w="1080"/>
        <w:gridCol w:w="1080"/>
        <w:gridCol w:w="1080"/>
        <w:gridCol w:w="1080"/>
      </w:tblGrid>
      <w:tr w:rsidR="00FA3625" w:rsidRPr="00F17003" w:rsidTr="4E5DF420">
        <w:trPr>
          <w:cantSplit/>
          <w:tblHeader/>
          <w:jc w:val="center"/>
        </w:trPr>
        <w:tc>
          <w:tcPr>
            <w:tcW w:w="1620" w:type="dxa"/>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Línea</w:t>
            </w:r>
          </w:p>
        </w:tc>
        <w:tc>
          <w:tcPr>
            <w:tcW w:w="1226" w:type="dxa"/>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Empresa</w:t>
            </w:r>
          </w:p>
        </w:tc>
        <w:tc>
          <w:tcPr>
            <w:tcW w:w="1114" w:type="dxa"/>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Frecuencia promedio</w:t>
            </w:r>
          </w:p>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[min.]</w:t>
            </w:r>
          </w:p>
        </w:tc>
        <w:tc>
          <w:tcPr>
            <w:tcW w:w="1080" w:type="dxa"/>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Lapso máximo [min.]</w:t>
            </w:r>
          </w:p>
        </w:tc>
        <w:tc>
          <w:tcPr>
            <w:tcW w:w="1080" w:type="dxa"/>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Lapso mínimo [min.]</w:t>
            </w:r>
          </w:p>
        </w:tc>
        <w:tc>
          <w:tcPr>
            <w:tcW w:w="1080" w:type="dxa"/>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Desvío</w:t>
            </w:r>
          </w:p>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Estándar [min.]</w:t>
            </w:r>
          </w:p>
        </w:tc>
        <w:tc>
          <w:tcPr>
            <w:tcW w:w="1080" w:type="dxa"/>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 Desv. std. sobre frec. promedio</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115</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8</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22</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69 %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121</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52 %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102 Negra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11</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44 %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113</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11</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18</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26 %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128 Roja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12</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29</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8</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65 %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122 Roja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12</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35 %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122 Verde</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12</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30 %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128 Negra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8</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65 %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142 Roja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29</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50 %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146 Negra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31</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50 %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116</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36 %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107 Negra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21</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8</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22 %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120</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50 %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101 Negra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9</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57 %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101 Roja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40 %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107 Roja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9</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57 %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142 Negra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10</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64 %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143 Negra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44 %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143 Roja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42 %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146 Roja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9</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52 %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133 Negra</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42 %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133 Verde</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31 %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138</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18</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32 %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139</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18</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6</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35 %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Ronda del Centro</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32</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18</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4</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17 %</w:t>
            </w:r>
          </w:p>
        </w:tc>
      </w:tr>
      <w:tr w:rsidR="00FA3625" w:rsidRPr="00F17003" w:rsidTr="4E5DF420">
        <w:trPr>
          <w:cantSplit/>
          <w:jc w:val="center"/>
        </w:trPr>
        <w:tc>
          <w:tcPr>
            <w:tcW w:w="1620" w:type="dxa"/>
            <w:vAlign w:val="center"/>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115 Aeropuerto</w:t>
            </w:r>
          </w:p>
        </w:tc>
        <w:tc>
          <w:tcPr>
            <w:tcW w:w="1226" w:type="dxa"/>
            <w:vAlign w:val="center"/>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114"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29</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37</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19</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5</w:t>
            </w:r>
          </w:p>
        </w:tc>
        <w:tc>
          <w:tcPr>
            <w:tcW w:w="1080" w:type="dxa"/>
            <w:vAlign w:val="center"/>
          </w:tcPr>
          <w:p w:rsidR="00FA3625" w:rsidRPr="00F17003" w:rsidRDefault="00FA3625" w:rsidP="4E5DF420">
            <w:pPr>
              <w:jc w:val="center"/>
              <w:rPr>
                <w:rFonts w:ascii="Arial" w:hAnsi="Arial" w:cs="Arial"/>
                <w:sz w:val="18"/>
                <w:szCs w:val="18"/>
              </w:rPr>
            </w:pPr>
            <w:r w:rsidRPr="4E5DF420">
              <w:rPr>
                <w:rFonts w:ascii="Arial" w:hAnsi="Arial" w:cs="Arial"/>
                <w:sz w:val="18"/>
                <w:szCs w:val="18"/>
              </w:rPr>
              <w:t>19 %</w:t>
            </w:r>
          </w:p>
        </w:tc>
      </w:tr>
      <w:tr w:rsidR="00FA3625" w:rsidRPr="00F17003" w:rsidTr="4E5DF420">
        <w:trPr>
          <w:cantSplit/>
          <w:jc w:val="center"/>
        </w:trPr>
        <w:tc>
          <w:tcPr>
            <w:tcW w:w="1620" w:type="dxa"/>
            <w:tcBorders>
              <w:left w:val="nil"/>
              <w:bottom w:val="nil"/>
            </w:tcBorders>
            <w:vAlign w:val="center"/>
          </w:tcPr>
          <w:p w:rsidR="00FA3625" w:rsidRPr="00F17003" w:rsidRDefault="00FA3625" w:rsidP="00F17003">
            <w:pPr>
              <w:ind w:left="-57" w:right="-57"/>
              <w:jc w:val="center"/>
              <w:rPr>
                <w:rFonts w:ascii="Arial" w:hAnsi="Arial" w:cs="Arial"/>
                <w:sz w:val="18"/>
                <w:szCs w:val="18"/>
              </w:rPr>
            </w:pPr>
          </w:p>
        </w:tc>
        <w:tc>
          <w:tcPr>
            <w:tcW w:w="1226" w:type="dxa"/>
            <w:vAlign w:val="center"/>
          </w:tcPr>
          <w:p w:rsidR="00FA3625" w:rsidRPr="00F17003" w:rsidRDefault="00FA3625" w:rsidP="4E5DF420">
            <w:pPr>
              <w:ind w:left="-57" w:right="-57"/>
              <w:jc w:val="right"/>
              <w:rPr>
                <w:rFonts w:ascii="Arial" w:hAnsi="Arial" w:cs="Arial"/>
                <w:b/>
                <w:bCs/>
                <w:sz w:val="18"/>
                <w:szCs w:val="18"/>
              </w:rPr>
            </w:pPr>
            <w:r w:rsidRPr="4E5DF420">
              <w:rPr>
                <w:rFonts w:ascii="Arial" w:hAnsi="Arial" w:cs="Arial"/>
                <w:b/>
                <w:bCs/>
                <w:sz w:val="18"/>
                <w:szCs w:val="18"/>
              </w:rPr>
              <w:t>Promedio</w:t>
            </w:r>
          </w:p>
        </w:tc>
        <w:tc>
          <w:tcPr>
            <w:tcW w:w="1114" w:type="dxa"/>
            <w:vAlign w:val="center"/>
          </w:tcPr>
          <w:p w:rsidR="00FA3625" w:rsidRPr="00F17003" w:rsidRDefault="00FA3625" w:rsidP="4E5DF420">
            <w:pPr>
              <w:jc w:val="center"/>
              <w:rPr>
                <w:rFonts w:ascii="Arial" w:hAnsi="Arial" w:cs="Arial"/>
                <w:b/>
                <w:bCs/>
                <w:sz w:val="18"/>
                <w:szCs w:val="18"/>
              </w:rPr>
            </w:pPr>
            <w:r w:rsidRPr="4E5DF420">
              <w:rPr>
                <w:rFonts w:ascii="Arial" w:hAnsi="Arial" w:cs="Arial"/>
                <w:b/>
                <w:bCs/>
                <w:sz w:val="18"/>
                <w:szCs w:val="18"/>
              </w:rPr>
              <w:t>14,4</w:t>
            </w:r>
          </w:p>
        </w:tc>
        <w:tc>
          <w:tcPr>
            <w:tcW w:w="1080" w:type="dxa"/>
            <w:tcBorders>
              <w:right w:val="nil"/>
            </w:tcBorders>
            <w:vAlign w:val="center"/>
          </w:tcPr>
          <w:p w:rsidR="00FA3625" w:rsidRPr="00F17003" w:rsidRDefault="00FA3625" w:rsidP="00F17003">
            <w:pPr>
              <w:jc w:val="center"/>
              <w:rPr>
                <w:rFonts w:ascii="Arial" w:hAnsi="Arial" w:cs="Arial"/>
                <w:b/>
                <w:sz w:val="18"/>
                <w:szCs w:val="18"/>
              </w:rPr>
            </w:pPr>
          </w:p>
        </w:tc>
        <w:tc>
          <w:tcPr>
            <w:tcW w:w="1080" w:type="dxa"/>
            <w:tcBorders>
              <w:left w:val="nil"/>
              <w:bottom w:val="nil"/>
            </w:tcBorders>
            <w:vAlign w:val="center"/>
          </w:tcPr>
          <w:p w:rsidR="00FA3625" w:rsidRPr="00F17003" w:rsidRDefault="00FA3625" w:rsidP="00F17003">
            <w:pPr>
              <w:jc w:val="center"/>
              <w:rPr>
                <w:rFonts w:ascii="Arial" w:hAnsi="Arial" w:cs="Arial"/>
                <w:b/>
                <w:sz w:val="18"/>
                <w:szCs w:val="18"/>
              </w:rPr>
            </w:pPr>
          </w:p>
        </w:tc>
        <w:tc>
          <w:tcPr>
            <w:tcW w:w="1080" w:type="dxa"/>
            <w:vAlign w:val="center"/>
          </w:tcPr>
          <w:p w:rsidR="00FA3625" w:rsidRPr="00F17003" w:rsidRDefault="00FA3625" w:rsidP="4E5DF420">
            <w:pPr>
              <w:jc w:val="center"/>
              <w:rPr>
                <w:rFonts w:ascii="Arial" w:hAnsi="Arial" w:cs="Arial"/>
                <w:b/>
                <w:bCs/>
                <w:sz w:val="18"/>
                <w:szCs w:val="18"/>
              </w:rPr>
            </w:pPr>
            <w:r w:rsidRPr="4E5DF420">
              <w:rPr>
                <w:rFonts w:ascii="Arial" w:hAnsi="Arial" w:cs="Arial"/>
                <w:b/>
                <w:bCs/>
                <w:sz w:val="18"/>
                <w:szCs w:val="18"/>
              </w:rPr>
              <w:t>6,3</w:t>
            </w:r>
          </w:p>
        </w:tc>
        <w:tc>
          <w:tcPr>
            <w:tcW w:w="1080" w:type="dxa"/>
            <w:vAlign w:val="center"/>
          </w:tcPr>
          <w:p w:rsidR="00FA3625" w:rsidRPr="00F17003" w:rsidRDefault="00FA3625" w:rsidP="4E5DF420">
            <w:pPr>
              <w:jc w:val="center"/>
              <w:rPr>
                <w:rFonts w:ascii="Arial" w:hAnsi="Arial" w:cs="Arial"/>
                <w:b/>
                <w:bCs/>
                <w:sz w:val="18"/>
                <w:szCs w:val="18"/>
              </w:rPr>
            </w:pPr>
            <w:r w:rsidRPr="4E5DF420">
              <w:rPr>
                <w:rFonts w:ascii="Arial" w:hAnsi="Arial" w:cs="Arial"/>
                <w:b/>
                <w:bCs/>
                <w:sz w:val="18"/>
                <w:szCs w:val="18"/>
              </w:rPr>
              <w:t>44 %</w:t>
            </w:r>
          </w:p>
        </w:tc>
      </w:tr>
      <w:tr w:rsidR="00FA3625" w:rsidRPr="00F17003" w:rsidTr="4E5DF420">
        <w:trPr>
          <w:cantSplit/>
          <w:jc w:val="center"/>
        </w:trPr>
        <w:tc>
          <w:tcPr>
            <w:tcW w:w="1620" w:type="dxa"/>
            <w:tcBorders>
              <w:top w:val="nil"/>
              <w:left w:val="nil"/>
              <w:bottom w:val="nil"/>
            </w:tcBorders>
            <w:vAlign w:val="center"/>
          </w:tcPr>
          <w:p w:rsidR="00FA3625" w:rsidRPr="00F17003" w:rsidRDefault="00FA3625" w:rsidP="00F17003">
            <w:pPr>
              <w:ind w:left="-57" w:right="-57"/>
              <w:jc w:val="center"/>
              <w:rPr>
                <w:rFonts w:ascii="Arial" w:hAnsi="Arial" w:cs="Arial"/>
                <w:sz w:val="18"/>
                <w:szCs w:val="18"/>
              </w:rPr>
            </w:pPr>
          </w:p>
        </w:tc>
        <w:tc>
          <w:tcPr>
            <w:tcW w:w="1226" w:type="dxa"/>
            <w:vAlign w:val="center"/>
          </w:tcPr>
          <w:p w:rsidR="00FA3625" w:rsidRPr="00F17003" w:rsidRDefault="00FA3625" w:rsidP="4E5DF420">
            <w:pPr>
              <w:ind w:left="-57" w:right="-57"/>
              <w:jc w:val="right"/>
              <w:rPr>
                <w:rFonts w:ascii="Arial" w:hAnsi="Arial" w:cs="Arial"/>
                <w:b/>
                <w:bCs/>
                <w:sz w:val="18"/>
                <w:szCs w:val="18"/>
              </w:rPr>
            </w:pPr>
            <w:r w:rsidRPr="4E5DF420">
              <w:rPr>
                <w:rFonts w:ascii="Arial" w:hAnsi="Arial" w:cs="Arial"/>
                <w:b/>
                <w:bCs/>
                <w:sz w:val="18"/>
                <w:szCs w:val="18"/>
              </w:rPr>
              <w:t>Máximo</w:t>
            </w:r>
          </w:p>
        </w:tc>
        <w:tc>
          <w:tcPr>
            <w:tcW w:w="1114" w:type="dxa"/>
            <w:tcBorders>
              <w:bottom w:val="nil"/>
            </w:tcBorders>
            <w:vAlign w:val="center"/>
          </w:tcPr>
          <w:p w:rsidR="00FA3625" w:rsidRPr="00F17003" w:rsidRDefault="00FA3625" w:rsidP="00F17003">
            <w:pPr>
              <w:jc w:val="center"/>
              <w:rPr>
                <w:rFonts w:ascii="Arial" w:hAnsi="Arial" w:cs="Arial"/>
                <w:sz w:val="18"/>
                <w:szCs w:val="18"/>
              </w:rPr>
            </w:pPr>
          </w:p>
        </w:tc>
        <w:tc>
          <w:tcPr>
            <w:tcW w:w="1080" w:type="dxa"/>
            <w:vAlign w:val="center"/>
          </w:tcPr>
          <w:p w:rsidR="00FA3625" w:rsidRPr="00F17003" w:rsidRDefault="00FA3625" w:rsidP="4E5DF420">
            <w:pPr>
              <w:jc w:val="center"/>
              <w:rPr>
                <w:rFonts w:ascii="Arial" w:hAnsi="Arial" w:cs="Arial"/>
                <w:b/>
                <w:bCs/>
                <w:sz w:val="18"/>
                <w:szCs w:val="18"/>
              </w:rPr>
            </w:pPr>
            <w:r w:rsidRPr="4E5DF420">
              <w:rPr>
                <w:rFonts w:ascii="Arial" w:hAnsi="Arial" w:cs="Arial"/>
                <w:b/>
                <w:bCs/>
                <w:sz w:val="18"/>
                <w:szCs w:val="18"/>
              </w:rPr>
              <w:t>46</w:t>
            </w:r>
          </w:p>
        </w:tc>
        <w:tc>
          <w:tcPr>
            <w:tcW w:w="1080" w:type="dxa"/>
            <w:tcBorders>
              <w:top w:val="nil"/>
              <w:right w:val="nil"/>
            </w:tcBorders>
            <w:vAlign w:val="center"/>
          </w:tcPr>
          <w:p w:rsidR="00FA3625" w:rsidRPr="00F17003" w:rsidRDefault="00FA3625" w:rsidP="00F17003">
            <w:pPr>
              <w:jc w:val="center"/>
              <w:rPr>
                <w:rFonts w:ascii="Arial" w:hAnsi="Arial" w:cs="Arial"/>
                <w:b/>
                <w:sz w:val="18"/>
                <w:szCs w:val="18"/>
              </w:rPr>
            </w:pPr>
          </w:p>
        </w:tc>
        <w:tc>
          <w:tcPr>
            <w:tcW w:w="1080" w:type="dxa"/>
            <w:tcBorders>
              <w:left w:val="nil"/>
              <w:bottom w:val="nil"/>
              <w:right w:val="nil"/>
            </w:tcBorders>
            <w:vAlign w:val="center"/>
          </w:tcPr>
          <w:p w:rsidR="00FA3625" w:rsidRPr="00F17003" w:rsidRDefault="00FA3625" w:rsidP="00F17003">
            <w:pPr>
              <w:jc w:val="center"/>
              <w:rPr>
                <w:rFonts w:ascii="Arial" w:hAnsi="Arial" w:cs="Arial"/>
                <w:sz w:val="18"/>
                <w:szCs w:val="18"/>
              </w:rPr>
            </w:pPr>
          </w:p>
        </w:tc>
        <w:tc>
          <w:tcPr>
            <w:tcW w:w="1080" w:type="dxa"/>
            <w:tcBorders>
              <w:left w:val="nil"/>
              <w:bottom w:val="nil"/>
              <w:right w:val="nil"/>
            </w:tcBorders>
            <w:vAlign w:val="center"/>
          </w:tcPr>
          <w:p w:rsidR="00FA3625" w:rsidRPr="00F17003" w:rsidRDefault="00FA3625" w:rsidP="00F17003">
            <w:pPr>
              <w:jc w:val="center"/>
              <w:rPr>
                <w:rFonts w:ascii="Arial" w:hAnsi="Arial" w:cs="Arial"/>
                <w:sz w:val="18"/>
                <w:szCs w:val="18"/>
              </w:rPr>
            </w:pPr>
          </w:p>
        </w:tc>
      </w:tr>
      <w:tr w:rsidR="00FA3625" w:rsidRPr="00F17003" w:rsidTr="4E5DF420">
        <w:trPr>
          <w:cantSplit/>
          <w:jc w:val="center"/>
        </w:trPr>
        <w:tc>
          <w:tcPr>
            <w:tcW w:w="1620" w:type="dxa"/>
            <w:tcBorders>
              <w:top w:val="nil"/>
              <w:left w:val="nil"/>
              <w:bottom w:val="nil"/>
            </w:tcBorders>
            <w:vAlign w:val="center"/>
          </w:tcPr>
          <w:p w:rsidR="00FA3625" w:rsidRPr="00F17003" w:rsidRDefault="00FA3625" w:rsidP="00F17003">
            <w:pPr>
              <w:ind w:left="-57" w:right="-57"/>
              <w:jc w:val="center"/>
              <w:rPr>
                <w:rFonts w:ascii="Arial" w:hAnsi="Arial" w:cs="Arial"/>
                <w:sz w:val="18"/>
                <w:szCs w:val="18"/>
              </w:rPr>
            </w:pPr>
          </w:p>
        </w:tc>
        <w:tc>
          <w:tcPr>
            <w:tcW w:w="1226" w:type="dxa"/>
            <w:vAlign w:val="center"/>
          </w:tcPr>
          <w:p w:rsidR="00FA3625" w:rsidRPr="00F17003" w:rsidRDefault="00FA3625" w:rsidP="4E5DF420">
            <w:pPr>
              <w:ind w:left="-57" w:right="-57"/>
              <w:jc w:val="right"/>
              <w:rPr>
                <w:rFonts w:ascii="Arial" w:hAnsi="Arial" w:cs="Arial"/>
                <w:b/>
                <w:bCs/>
                <w:sz w:val="18"/>
                <w:szCs w:val="18"/>
              </w:rPr>
            </w:pPr>
            <w:r w:rsidRPr="4E5DF420">
              <w:rPr>
                <w:rFonts w:ascii="Arial" w:hAnsi="Arial" w:cs="Arial"/>
                <w:b/>
                <w:bCs/>
                <w:sz w:val="18"/>
                <w:szCs w:val="18"/>
              </w:rPr>
              <w:t>Mínimo</w:t>
            </w:r>
          </w:p>
        </w:tc>
        <w:tc>
          <w:tcPr>
            <w:tcW w:w="1114" w:type="dxa"/>
            <w:tcBorders>
              <w:top w:val="nil"/>
              <w:bottom w:val="nil"/>
              <w:right w:val="nil"/>
            </w:tcBorders>
            <w:vAlign w:val="center"/>
          </w:tcPr>
          <w:p w:rsidR="00FA3625" w:rsidRPr="00F17003" w:rsidRDefault="00FA3625" w:rsidP="00F17003">
            <w:pPr>
              <w:jc w:val="center"/>
              <w:rPr>
                <w:rFonts w:ascii="Arial" w:hAnsi="Arial" w:cs="Arial"/>
                <w:sz w:val="18"/>
                <w:szCs w:val="18"/>
              </w:rPr>
            </w:pPr>
          </w:p>
        </w:tc>
        <w:tc>
          <w:tcPr>
            <w:tcW w:w="1080" w:type="dxa"/>
            <w:tcBorders>
              <w:left w:val="nil"/>
              <w:bottom w:val="nil"/>
            </w:tcBorders>
            <w:vAlign w:val="center"/>
          </w:tcPr>
          <w:p w:rsidR="00FA3625" w:rsidRPr="00F17003" w:rsidRDefault="00FA3625" w:rsidP="00F17003">
            <w:pPr>
              <w:jc w:val="center"/>
              <w:rPr>
                <w:rFonts w:ascii="Arial" w:hAnsi="Arial" w:cs="Arial"/>
                <w:b/>
                <w:sz w:val="18"/>
                <w:szCs w:val="18"/>
              </w:rPr>
            </w:pPr>
          </w:p>
        </w:tc>
        <w:tc>
          <w:tcPr>
            <w:tcW w:w="1080" w:type="dxa"/>
            <w:vAlign w:val="center"/>
          </w:tcPr>
          <w:p w:rsidR="00FA3625" w:rsidRPr="00F17003" w:rsidRDefault="00FA3625" w:rsidP="4E5DF420">
            <w:pPr>
              <w:jc w:val="center"/>
              <w:rPr>
                <w:rFonts w:ascii="Arial" w:hAnsi="Arial" w:cs="Arial"/>
                <w:b/>
                <w:bCs/>
                <w:sz w:val="18"/>
                <w:szCs w:val="18"/>
              </w:rPr>
            </w:pPr>
            <w:r w:rsidRPr="4E5DF420">
              <w:rPr>
                <w:rFonts w:ascii="Arial" w:hAnsi="Arial" w:cs="Arial"/>
                <w:b/>
                <w:bCs/>
                <w:sz w:val="18"/>
                <w:szCs w:val="18"/>
              </w:rPr>
              <w:t>0</w:t>
            </w:r>
          </w:p>
        </w:tc>
        <w:tc>
          <w:tcPr>
            <w:tcW w:w="1080" w:type="dxa"/>
            <w:tcBorders>
              <w:top w:val="nil"/>
              <w:bottom w:val="nil"/>
              <w:right w:val="nil"/>
            </w:tcBorders>
            <w:vAlign w:val="center"/>
          </w:tcPr>
          <w:p w:rsidR="00FA3625" w:rsidRPr="00F17003" w:rsidRDefault="00FA3625" w:rsidP="00F17003">
            <w:pPr>
              <w:jc w:val="center"/>
              <w:rPr>
                <w:rFonts w:ascii="Arial" w:hAnsi="Arial" w:cs="Arial"/>
                <w:sz w:val="18"/>
                <w:szCs w:val="18"/>
              </w:rPr>
            </w:pPr>
          </w:p>
        </w:tc>
        <w:tc>
          <w:tcPr>
            <w:tcW w:w="1080" w:type="dxa"/>
            <w:tcBorders>
              <w:top w:val="nil"/>
              <w:left w:val="nil"/>
              <w:bottom w:val="nil"/>
              <w:right w:val="nil"/>
            </w:tcBorders>
            <w:vAlign w:val="center"/>
          </w:tcPr>
          <w:p w:rsidR="00FA3625" w:rsidRPr="00F17003" w:rsidRDefault="00FA3625" w:rsidP="00F17003">
            <w:pPr>
              <w:jc w:val="center"/>
              <w:rPr>
                <w:rFonts w:ascii="Arial" w:hAnsi="Arial" w:cs="Arial"/>
                <w:sz w:val="18"/>
                <w:szCs w:val="18"/>
              </w:rPr>
            </w:pPr>
          </w:p>
        </w:tc>
      </w:tr>
    </w:tbl>
    <w:p w:rsidR="00FA3625" w:rsidRDefault="00FA3625" w:rsidP="006837B4">
      <w:pPr>
        <w:rPr>
          <w:rFonts w:ascii="Arial" w:hAnsi="Arial" w:cs="Arial"/>
          <w:sz w:val="20"/>
          <w:szCs w:val="20"/>
        </w:rPr>
      </w:pPr>
    </w:p>
    <w:p w:rsidR="00FA3625" w:rsidRDefault="00FA3625" w:rsidP="004C0CF0">
      <w:pPr>
        <w:jc w:val="both"/>
        <w:rPr>
          <w:rFonts w:ascii="Arial" w:hAnsi="Arial" w:cs="Arial"/>
          <w:sz w:val="20"/>
          <w:szCs w:val="20"/>
        </w:rPr>
      </w:pPr>
      <w:r w:rsidRPr="4E5DF420">
        <w:rPr>
          <w:rFonts w:ascii="Arial" w:hAnsi="Arial" w:cs="Arial"/>
          <w:sz w:val="20"/>
          <w:szCs w:val="20"/>
        </w:rPr>
        <w:t xml:space="preserve">Del análisis de la tabla surge claramente que la regularidad de los servicios está muy comprometida en varios casos. Situaciones extremas se verificaron en </w:t>
      </w:r>
      <w:smartTag w:uri="urn:schemas-microsoft-com:office:smarttags" w:element="PersonName">
        <w:smartTagPr>
          <w:attr w:name="ProductID" w:val="la Línea"/>
        </w:smartTagPr>
        <w:r w:rsidRPr="4E5DF420">
          <w:rPr>
            <w:rFonts w:ascii="Arial" w:hAnsi="Arial" w:cs="Arial"/>
            <w:sz w:val="20"/>
            <w:szCs w:val="20"/>
          </w:rPr>
          <w:t>la Línea</w:t>
        </w:r>
      </w:smartTag>
      <w:r w:rsidRPr="4E5DF420">
        <w:rPr>
          <w:rFonts w:ascii="Arial" w:hAnsi="Arial" w:cs="Arial"/>
          <w:sz w:val="20"/>
          <w:szCs w:val="20"/>
        </w:rPr>
        <w:t xml:space="preserve"> 115, en la cual pasaron tres unidades en el lapso de apenas un minuto (Línea 115, 13:38 horas) seguidas por una falta de pasadas por quince minutos y a continuación se registró el paso de tres coches repartidos en apenas cuatro minutos (13:53 a 13:57 horas). Otro caso destacable aconteció en </w:t>
      </w:r>
      <w:smartTag w:uri="urn:schemas-microsoft-com:office:smarttags" w:element="PersonName">
        <w:smartTagPr>
          <w:attr w:name="ProductID" w:val="la Línea"/>
        </w:smartTagPr>
        <w:r w:rsidRPr="4E5DF420">
          <w:rPr>
            <w:rFonts w:ascii="Arial" w:hAnsi="Arial" w:cs="Arial"/>
            <w:sz w:val="20"/>
            <w:szCs w:val="20"/>
          </w:rPr>
          <w:t>la Línea</w:t>
        </w:r>
      </w:smartTag>
      <w:r w:rsidRPr="4E5DF420">
        <w:rPr>
          <w:rFonts w:ascii="Arial" w:hAnsi="Arial" w:cs="Arial"/>
          <w:sz w:val="20"/>
          <w:szCs w:val="20"/>
        </w:rPr>
        <w:t xml:space="preserve"> 101 Negra, donde en dos vueltas consecutivas las dos mismas unidades (números internos 95 y 245) hicieron su pasada separadas apenas por un minuto, precedido en ambos casos por lapsos sin pasadas cercanos a la media hora. También se destacó por su gran irregularidad </w:t>
      </w:r>
      <w:smartTag w:uri="urn:schemas-microsoft-com:office:smarttags" w:element="PersonName">
        <w:smartTagPr>
          <w:attr w:name="ProductID" w:val="la Línea"/>
        </w:smartTagPr>
        <w:r w:rsidRPr="4E5DF420">
          <w:rPr>
            <w:rFonts w:ascii="Arial" w:hAnsi="Arial" w:cs="Arial"/>
            <w:sz w:val="20"/>
            <w:szCs w:val="20"/>
          </w:rPr>
          <w:t>la Línea</w:t>
        </w:r>
      </w:smartTag>
      <w:r w:rsidRPr="4E5DF420">
        <w:rPr>
          <w:rFonts w:ascii="Arial" w:hAnsi="Arial" w:cs="Arial"/>
          <w:sz w:val="20"/>
          <w:szCs w:val="20"/>
        </w:rPr>
        <w:t xml:space="preserve"> 128, donde se dieron dos casos (uno en la bandera Negra y el otro en </w:t>
      </w:r>
      <w:smartTag w:uri="urn:schemas-microsoft-com:office:smarttags" w:element="PersonName">
        <w:smartTagPr>
          <w:attr w:name="ProductID" w:val="la Roja"/>
        </w:smartTagPr>
        <w:r w:rsidRPr="4E5DF420">
          <w:rPr>
            <w:rFonts w:ascii="Arial" w:hAnsi="Arial" w:cs="Arial"/>
            <w:sz w:val="20"/>
            <w:szCs w:val="20"/>
          </w:rPr>
          <w:t>la Roja</w:t>
        </w:r>
      </w:smartTag>
      <w:r w:rsidRPr="4E5DF420">
        <w:rPr>
          <w:rFonts w:ascii="Arial" w:hAnsi="Arial" w:cs="Arial"/>
          <w:sz w:val="20"/>
          <w:szCs w:val="20"/>
        </w:rPr>
        <w:t>) en que dos unidades pasaron juntas dentro del mismo minuto, mientras que en otras tres oportunidades lo hicieron apenas separadas por un minuto entre sí, y en otras tres por tres minutos. Estas circunstancias (y otras similares ocurridas en otras líneas) se ven reflejadas en la última columna, correspondiendo a los valores más elevados de desvío estándar relativo a la frecuencia promedio.</w:t>
      </w:r>
    </w:p>
    <w:p w:rsidR="00FA3625" w:rsidRDefault="00FA3625" w:rsidP="00412034">
      <w:pPr>
        <w:ind w:firstLine="180"/>
        <w:rPr>
          <w:rFonts w:ascii="Arial" w:hAnsi="Arial" w:cs="Arial"/>
          <w:sz w:val="20"/>
          <w:szCs w:val="20"/>
        </w:rPr>
      </w:pPr>
    </w:p>
    <w:p w:rsidR="00FA3625" w:rsidRDefault="00FA3625" w:rsidP="4E5DF420">
      <w:pPr>
        <w:ind w:firstLine="180"/>
        <w:rPr>
          <w:rFonts w:ascii="Arial" w:hAnsi="Arial" w:cs="Arial"/>
          <w:sz w:val="20"/>
          <w:szCs w:val="20"/>
        </w:rPr>
      </w:pPr>
      <w:r w:rsidRPr="4E5DF420">
        <w:rPr>
          <w:rFonts w:ascii="Arial" w:hAnsi="Arial" w:cs="Arial"/>
          <w:sz w:val="20"/>
          <w:szCs w:val="20"/>
        </w:rPr>
        <w:t>Las líneas con mayor y menor regularidad fueron las siguientes:</w:t>
      </w:r>
    </w:p>
    <w:p w:rsidR="00FA3625" w:rsidRDefault="00FA3625" w:rsidP="00412034">
      <w:pPr>
        <w:rPr>
          <w:rFonts w:ascii="Arial" w:hAnsi="Arial" w:cs="Arial"/>
          <w:sz w:val="20"/>
          <w:szCs w:val="20"/>
        </w:rPr>
      </w:pPr>
    </w:p>
    <w:p w:rsidR="00FA3625" w:rsidRPr="005D2853" w:rsidRDefault="00FA3625" w:rsidP="4E5DF420">
      <w:pPr>
        <w:jc w:val="center"/>
        <w:rPr>
          <w:rFonts w:ascii="Arial" w:hAnsi="Arial" w:cs="Arial"/>
          <w:i/>
          <w:iCs/>
          <w:sz w:val="20"/>
          <w:szCs w:val="20"/>
        </w:rPr>
      </w:pPr>
      <w:r w:rsidRPr="4E5DF420">
        <w:rPr>
          <w:rFonts w:ascii="Arial" w:hAnsi="Arial" w:cs="Arial"/>
          <w:i/>
          <w:iCs/>
          <w:sz w:val="20"/>
          <w:szCs w:val="20"/>
        </w:rPr>
        <w:t>Más regulares                                                         Menos regulares</w:t>
      </w:r>
    </w:p>
    <w:tbl>
      <w:tblPr>
        <w:tblW w:w="0" w:type="auto"/>
        <w:jc w:val="center"/>
        <w:tblLook w:val="01E0"/>
      </w:tblPr>
      <w:tblGrid>
        <w:gridCol w:w="1610"/>
        <w:gridCol w:w="1477"/>
        <w:gridCol w:w="1045"/>
        <w:gridCol w:w="548"/>
        <w:gridCol w:w="1572"/>
        <w:gridCol w:w="1488"/>
        <w:gridCol w:w="1072"/>
      </w:tblGrid>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Línea</w:t>
            </w:r>
          </w:p>
        </w:tc>
        <w:tc>
          <w:tcPr>
            <w:tcW w:w="1477"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Empresa</w:t>
            </w:r>
          </w:p>
        </w:tc>
        <w:tc>
          <w:tcPr>
            <w:tcW w:w="1045"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 Desv. std. sobre frec. promedio</w:t>
            </w:r>
          </w:p>
        </w:tc>
        <w:tc>
          <w:tcPr>
            <w:tcW w:w="548" w:type="dxa"/>
            <w:tcBorders>
              <w:left w:val="single" w:sz="4" w:space="0" w:color="auto"/>
              <w:right w:val="single" w:sz="4" w:space="0" w:color="auto"/>
            </w:tcBorders>
            <w:vAlign w:val="center"/>
          </w:tcPr>
          <w:p w:rsidR="00FA3625" w:rsidRPr="00F17003" w:rsidRDefault="00FA3625" w:rsidP="00F17003">
            <w:pPr>
              <w:ind w:left="-57" w:right="-57"/>
              <w:jc w:val="center"/>
              <w:rPr>
                <w:rFonts w:ascii="Arial" w:hAnsi="Arial" w:cs="Arial"/>
                <w:b/>
                <w:sz w:val="16"/>
                <w:szCs w:val="16"/>
              </w:rPr>
            </w:pPr>
          </w:p>
        </w:tc>
        <w:tc>
          <w:tcPr>
            <w:tcW w:w="1572"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Línea</w:t>
            </w:r>
          </w:p>
        </w:tc>
        <w:tc>
          <w:tcPr>
            <w:tcW w:w="1488"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Empresa</w:t>
            </w:r>
          </w:p>
        </w:tc>
        <w:tc>
          <w:tcPr>
            <w:tcW w:w="1072"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 Desv. std. sobre frec. promedio</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Ronda del Centro</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17 %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115</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0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69 %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115 Aeropuerto</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19 %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128 Roja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0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65 %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107 Negra</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22 %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128 Negra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0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65 %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113</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26 %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142 Negra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0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64 %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122 Verde</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30 %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101 Negra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0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57 %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133 Verde</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31 %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107 Roja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0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57 %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138</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32 %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121</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0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52 %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122 Roja</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35 %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146 Roja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0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52 %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139</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045"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35 %</w:t>
            </w:r>
          </w:p>
        </w:tc>
        <w:tc>
          <w:tcPr>
            <w:tcW w:w="548" w:type="dxa"/>
            <w:tcBorders>
              <w:lef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tcBorders>
          </w:tcPr>
          <w:p w:rsidR="00FA3625" w:rsidRPr="00F17003" w:rsidRDefault="00FA3625" w:rsidP="00F17003">
            <w:pPr>
              <w:ind w:left="-57" w:right="-57"/>
              <w:rPr>
                <w:rFonts w:ascii="Arial" w:hAnsi="Arial" w:cs="Arial"/>
                <w:sz w:val="18"/>
                <w:szCs w:val="18"/>
              </w:rPr>
            </w:pPr>
          </w:p>
        </w:tc>
        <w:tc>
          <w:tcPr>
            <w:tcW w:w="1488" w:type="dxa"/>
            <w:tcBorders>
              <w:top w:val="single" w:sz="4" w:space="0" w:color="auto"/>
            </w:tcBorders>
          </w:tcPr>
          <w:p w:rsidR="00FA3625" w:rsidRPr="00F17003" w:rsidRDefault="00FA3625" w:rsidP="00F17003">
            <w:pPr>
              <w:ind w:left="-57" w:right="-57"/>
              <w:rPr>
                <w:rFonts w:ascii="Arial" w:hAnsi="Arial" w:cs="Arial"/>
                <w:sz w:val="18"/>
                <w:szCs w:val="18"/>
              </w:rPr>
            </w:pPr>
          </w:p>
        </w:tc>
        <w:tc>
          <w:tcPr>
            <w:tcW w:w="1072" w:type="dxa"/>
            <w:tcBorders>
              <w:top w:val="single" w:sz="4" w:space="0" w:color="auto"/>
            </w:tcBorders>
          </w:tcPr>
          <w:p w:rsidR="00FA3625" w:rsidRPr="00F17003" w:rsidRDefault="00FA3625" w:rsidP="00F17003">
            <w:pPr>
              <w:ind w:left="-57" w:right="-57"/>
              <w:jc w:val="center"/>
              <w:rPr>
                <w:rFonts w:ascii="Arial" w:hAnsi="Arial" w:cs="Arial"/>
                <w:sz w:val="18"/>
                <w:szCs w:val="18"/>
              </w:rPr>
            </w:pPr>
          </w:p>
        </w:tc>
      </w:tr>
    </w:tbl>
    <w:p w:rsidR="00FA3625" w:rsidRDefault="00FA3625" w:rsidP="00160ED7">
      <w:pPr>
        <w:rPr>
          <w:rFonts w:ascii="Arial" w:hAnsi="Arial" w:cs="Arial"/>
          <w:sz w:val="20"/>
          <w:szCs w:val="20"/>
        </w:rPr>
      </w:pPr>
    </w:p>
    <w:p w:rsidR="00FA3625" w:rsidRDefault="00FA3625" w:rsidP="004C0CF0">
      <w:pPr>
        <w:jc w:val="both"/>
        <w:rPr>
          <w:rFonts w:ascii="Arial" w:hAnsi="Arial" w:cs="Arial"/>
          <w:sz w:val="20"/>
          <w:szCs w:val="20"/>
        </w:rPr>
      </w:pPr>
      <w:r w:rsidRPr="4E5DF420">
        <w:rPr>
          <w:rFonts w:ascii="Arial" w:hAnsi="Arial" w:cs="Arial"/>
          <w:sz w:val="20"/>
          <w:szCs w:val="20"/>
        </w:rPr>
        <w:t xml:space="preserve">Se destaca además la ocurrencia de lapsos máximos inadmisibles con la operación de líneas en horario diurno y días de semana hábiles. Los casos extremos ocurrieron en </w:t>
      </w:r>
      <w:smartTag w:uri="urn:schemas-microsoft-com:office:smarttags" w:element="PersonName">
        <w:smartTagPr>
          <w:attr w:name="ProductID" w:val="la Línea"/>
        </w:smartTagPr>
        <w:r w:rsidRPr="4E5DF420">
          <w:rPr>
            <w:rFonts w:ascii="Arial" w:hAnsi="Arial" w:cs="Arial"/>
            <w:sz w:val="20"/>
            <w:szCs w:val="20"/>
          </w:rPr>
          <w:t>la Línea</w:t>
        </w:r>
      </w:smartTag>
      <w:r w:rsidRPr="4E5DF420">
        <w:rPr>
          <w:rFonts w:ascii="Arial" w:hAnsi="Arial" w:cs="Arial"/>
          <w:sz w:val="20"/>
          <w:szCs w:val="20"/>
        </w:rPr>
        <w:t xml:space="preserve"> 107 Roja donde se registró un espacio de 46 minutos (188% sobre la frecuencia promedio), seguido por </w:t>
      </w:r>
      <w:smartTag w:uri="urn:schemas-microsoft-com:office:smarttags" w:element="PersonName">
        <w:smartTagPr>
          <w:attr w:name="ProductID" w:val="la Línea"/>
        </w:smartTagPr>
        <w:r w:rsidRPr="4E5DF420">
          <w:rPr>
            <w:rFonts w:ascii="Arial" w:hAnsi="Arial" w:cs="Arial"/>
            <w:sz w:val="20"/>
            <w:szCs w:val="20"/>
          </w:rPr>
          <w:t>la Línea</w:t>
        </w:r>
      </w:smartTag>
      <w:r w:rsidRPr="4E5DF420">
        <w:rPr>
          <w:rFonts w:ascii="Arial" w:hAnsi="Arial" w:cs="Arial"/>
          <w:sz w:val="20"/>
          <w:szCs w:val="20"/>
        </w:rPr>
        <w:t xml:space="preserve"> 142 Negra (44 minutos / 175%), 146 Roja (36 minutos / 112%), 133 Negra (35 minutos / 106%).</w:t>
      </w:r>
    </w:p>
    <w:p w:rsidR="00FA3625" w:rsidRDefault="00FA3625" w:rsidP="00AE51E0">
      <w:pPr>
        <w:ind w:firstLine="180"/>
        <w:rPr>
          <w:rFonts w:ascii="Arial" w:hAnsi="Arial" w:cs="Arial"/>
          <w:sz w:val="20"/>
          <w:szCs w:val="20"/>
        </w:rPr>
      </w:pPr>
    </w:p>
    <w:p w:rsidR="00FA3625" w:rsidRPr="0042468C" w:rsidRDefault="00FA3625" w:rsidP="4E5DF420">
      <w:pPr>
        <w:rPr>
          <w:rFonts w:ascii="Arial" w:hAnsi="Arial" w:cs="Arial"/>
          <w:b/>
          <w:bCs/>
          <w:i/>
          <w:iCs/>
          <w:sz w:val="20"/>
          <w:szCs w:val="20"/>
        </w:rPr>
      </w:pPr>
      <w:r w:rsidRPr="4E5DF420">
        <w:rPr>
          <w:rFonts w:ascii="Arial" w:hAnsi="Arial" w:cs="Arial"/>
          <w:b/>
          <w:bCs/>
          <w:i/>
          <w:iCs/>
          <w:sz w:val="20"/>
          <w:szCs w:val="20"/>
        </w:rPr>
        <w:t>Acerca de la complementación de frecuencias entre ramales (banderas) de una misma línea</w:t>
      </w:r>
    </w:p>
    <w:p w:rsidR="00FA3625" w:rsidRDefault="00FA3625" w:rsidP="004C0CF0">
      <w:pPr>
        <w:jc w:val="both"/>
        <w:rPr>
          <w:rFonts w:ascii="Arial" w:hAnsi="Arial" w:cs="Arial"/>
          <w:sz w:val="20"/>
          <w:szCs w:val="20"/>
        </w:rPr>
      </w:pPr>
      <w:r w:rsidRPr="4E5DF420">
        <w:rPr>
          <w:rFonts w:ascii="Arial" w:hAnsi="Arial" w:cs="Arial"/>
          <w:sz w:val="20"/>
          <w:szCs w:val="20"/>
        </w:rPr>
        <w:t>En teoría, cuando varios ramales (bandera de color) de una línea circulan superpuestos en un sector determinado de su recorrido, las frecuencias se ven aumentadas en la proporción correspondiente. Esta explicación es esgrimida por el EMR para destacar las mayores frecuencias en los sectores de recorrido en común, pero que conllevan menores frecuencias en los ramales que afectan a los vecinos situados en las áreas de cobertura individual de éstos.</w:t>
      </w:r>
    </w:p>
    <w:p w:rsidR="00FA3625" w:rsidRDefault="00FA3625" w:rsidP="004C0CF0">
      <w:pPr>
        <w:jc w:val="both"/>
        <w:rPr>
          <w:rFonts w:ascii="Arial" w:hAnsi="Arial" w:cs="Arial"/>
          <w:sz w:val="20"/>
          <w:szCs w:val="20"/>
        </w:rPr>
      </w:pPr>
      <w:r w:rsidRPr="4E5DF420">
        <w:rPr>
          <w:rFonts w:ascii="Arial" w:hAnsi="Arial" w:cs="Arial"/>
          <w:sz w:val="20"/>
          <w:szCs w:val="20"/>
        </w:rPr>
        <w:t>Sin embargo, el beneficio para el pasajero en los tramos comunes por la complementación de distintos ramales depende en la práctica por la efectiva coordinación de frecuencias entre los recorridos complementarios, algo que no es de moneda corriente y que se ha comprobado en esta jornada en reiteradas ocasiones, citando por ejemplo los siguientes casos:</w:t>
      </w:r>
    </w:p>
    <w:p w:rsidR="00FA3625" w:rsidRDefault="00FA3625" w:rsidP="00AE51E0">
      <w:pPr>
        <w:ind w:firstLine="180"/>
        <w:rPr>
          <w:rFonts w:ascii="Arial" w:hAnsi="Arial" w:cs="Arial"/>
          <w:sz w:val="20"/>
          <w:szCs w:val="20"/>
        </w:rPr>
      </w:pPr>
    </w:p>
    <w:p w:rsidR="00FA3625" w:rsidRDefault="00FA3625" w:rsidP="4E5DF420">
      <w:pPr>
        <w:ind w:left="284" w:hanging="284"/>
        <w:rPr>
          <w:rFonts w:ascii="Arial" w:hAnsi="Arial" w:cs="Arial"/>
          <w:sz w:val="20"/>
          <w:szCs w:val="20"/>
        </w:rPr>
      </w:pPr>
      <w:r w:rsidRPr="4E5DF420">
        <w:rPr>
          <w:rFonts w:ascii="Arial" w:hAnsi="Arial" w:cs="Arial"/>
          <w:sz w:val="20"/>
          <w:szCs w:val="20"/>
          <w:u w:val="single"/>
        </w:rPr>
        <w:t>Líneas 115 y 115 Aeropuerto</w:t>
      </w:r>
      <w:r w:rsidRPr="4E5DF420">
        <w:rPr>
          <w:rFonts w:ascii="Arial" w:hAnsi="Arial" w:cs="Arial"/>
          <w:sz w:val="20"/>
          <w:szCs w:val="20"/>
        </w:rPr>
        <w:t xml:space="preserve">: </w:t>
      </w:r>
    </w:p>
    <w:p w:rsidR="00FA3625" w:rsidRDefault="00FA3625" w:rsidP="4E5DF420">
      <w:pPr>
        <w:ind w:left="284"/>
        <w:rPr>
          <w:rFonts w:ascii="Arial" w:hAnsi="Arial" w:cs="Arial"/>
          <w:sz w:val="20"/>
          <w:szCs w:val="20"/>
        </w:rPr>
      </w:pPr>
      <w:r w:rsidRPr="4E5DF420">
        <w:rPr>
          <w:rFonts w:ascii="Arial" w:hAnsi="Arial" w:cs="Arial"/>
          <w:sz w:val="20"/>
          <w:szCs w:val="20"/>
        </w:rPr>
        <w:t xml:space="preserve">a) No pasaron coches de ningún ramal entre las 13:01 y 13:19 (18 minutos); </w:t>
      </w:r>
    </w:p>
    <w:p w:rsidR="00FA3625" w:rsidRDefault="00FA3625" w:rsidP="4E5DF420">
      <w:pPr>
        <w:ind w:left="284"/>
        <w:rPr>
          <w:rFonts w:ascii="Arial" w:hAnsi="Arial" w:cs="Arial"/>
          <w:sz w:val="20"/>
          <w:szCs w:val="20"/>
        </w:rPr>
      </w:pPr>
      <w:r w:rsidRPr="4E5DF420">
        <w:rPr>
          <w:rFonts w:ascii="Arial" w:hAnsi="Arial" w:cs="Arial"/>
          <w:sz w:val="20"/>
          <w:szCs w:val="20"/>
        </w:rPr>
        <w:t xml:space="preserve">b) A las 13:38 horas, pasaron 3 coches juntos (2 del 115 y 1 del 115 Aeropuerto); </w:t>
      </w:r>
    </w:p>
    <w:p w:rsidR="00FA3625" w:rsidRDefault="00FA3625" w:rsidP="4E5DF420">
      <w:pPr>
        <w:ind w:left="284"/>
        <w:rPr>
          <w:rFonts w:ascii="Arial" w:hAnsi="Arial" w:cs="Arial"/>
          <w:sz w:val="20"/>
          <w:szCs w:val="20"/>
        </w:rPr>
      </w:pPr>
      <w:r w:rsidRPr="4E5DF420">
        <w:rPr>
          <w:rFonts w:ascii="Arial" w:hAnsi="Arial" w:cs="Arial"/>
          <w:sz w:val="20"/>
          <w:szCs w:val="20"/>
        </w:rPr>
        <w:t>c) A las 13:57 horas, pasaron 4 coches juntos (3 del 115 y 1 del 115 Aeropuerto).</w:t>
      </w:r>
    </w:p>
    <w:p w:rsidR="00FA3625" w:rsidRDefault="00FA3625" w:rsidP="4E5DF420">
      <w:pPr>
        <w:ind w:left="284" w:hanging="284"/>
        <w:rPr>
          <w:rFonts w:ascii="Arial" w:hAnsi="Arial" w:cs="Arial"/>
          <w:sz w:val="20"/>
          <w:szCs w:val="20"/>
        </w:rPr>
      </w:pPr>
      <w:r w:rsidRPr="4E5DF420">
        <w:rPr>
          <w:rFonts w:ascii="Arial" w:hAnsi="Arial" w:cs="Arial"/>
          <w:sz w:val="20"/>
          <w:szCs w:val="20"/>
          <w:u w:val="single"/>
        </w:rPr>
        <w:t>Líneas 122 Verde y Roja</w:t>
      </w:r>
      <w:r w:rsidRPr="4E5DF420">
        <w:rPr>
          <w:rFonts w:ascii="Arial" w:hAnsi="Arial" w:cs="Arial"/>
          <w:sz w:val="20"/>
          <w:szCs w:val="20"/>
        </w:rPr>
        <w:t xml:space="preserve">: </w:t>
      </w:r>
    </w:p>
    <w:p w:rsidR="00FA3625" w:rsidRDefault="00FA3625" w:rsidP="4E5DF420">
      <w:pPr>
        <w:ind w:left="284"/>
        <w:rPr>
          <w:rFonts w:ascii="Arial" w:hAnsi="Arial" w:cs="Arial"/>
          <w:sz w:val="20"/>
          <w:szCs w:val="20"/>
        </w:rPr>
      </w:pPr>
      <w:r w:rsidRPr="4E5DF420">
        <w:rPr>
          <w:rFonts w:ascii="Arial" w:hAnsi="Arial" w:cs="Arial"/>
          <w:sz w:val="20"/>
          <w:szCs w:val="20"/>
        </w:rPr>
        <w:t>Entre las 13:49 y 13:51 (2 minutos) pasaron 3 coches (1 del Verde y 2 del Rojo).</w:t>
      </w:r>
    </w:p>
    <w:p w:rsidR="00FA3625" w:rsidRDefault="00FA3625" w:rsidP="4E5DF420">
      <w:pPr>
        <w:ind w:left="284" w:hanging="284"/>
        <w:rPr>
          <w:rFonts w:ascii="Arial" w:hAnsi="Arial" w:cs="Arial"/>
          <w:sz w:val="20"/>
          <w:szCs w:val="20"/>
        </w:rPr>
      </w:pPr>
      <w:r w:rsidRPr="4E5DF420">
        <w:rPr>
          <w:rFonts w:ascii="Arial" w:hAnsi="Arial" w:cs="Arial"/>
          <w:sz w:val="20"/>
          <w:szCs w:val="20"/>
          <w:u w:val="single"/>
        </w:rPr>
        <w:t>Líneas 128 Negra y Roja</w:t>
      </w:r>
      <w:r w:rsidRPr="4E5DF420">
        <w:rPr>
          <w:rFonts w:ascii="Arial" w:hAnsi="Arial" w:cs="Arial"/>
          <w:sz w:val="20"/>
          <w:szCs w:val="20"/>
        </w:rPr>
        <w:t xml:space="preserve">: </w:t>
      </w:r>
    </w:p>
    <w:p w:rsidR="00FA3625" w:rsidRDefault="00FA3625" w:rsidP="4E5DF420">
      <w:pPr>
        <w:ind w:left="284"/>
        <w:rPr>
          <w:rFonts w:ascii="Arial" w:hAnsi="Arial" w:cs="Arial"/>
          <w:sz w:val="20"/>
          <w:szCs w:val="20"/>
        </w:rPr>
      </w:pPr>
      <w:r w:rsidRPr="4E5DF420">
        <w:rPr>
          <w:rFonts w:ascii="Arial" w:hAnsi="Arial" w:cs="Arial"/>
          <w:sz w:val="20"/>
          <w:szCs w:val="20"/>
        </w:rPr>
        <w:t xml:space="preserve">a) Entre las 15:49 y 15:52 (3 minutos) pasaron 3 coches (1 del Negro y 2 del Rojo); </w:t>
      </w:r>
    </w:p>
    <w:p w:rsidR="00FA3625" w:rsidRDefault="00FA3625" w:rsidP="4E5DF420">
      <w:pPr>
        <w:ind w:left="284"/>
        <w:rPr>
          <w:rFonts w:ascii="Arial" w:hAnsi="Arial" w:cs="Arial"/>
          <w:sz w:val="20"/>
          <w:szCs w:val="20"/>
        </w:rPr>
      </w:pPr>
      <w:r w:rsidRPr="4E5DF420">
        <w:rPr>
          <w:rFonts w:ascii="Arial" w:hAnsi="Arial" w:cs="Arial"/>
          <w:sz w:val="20"/>
          <w:szCs w:val="20"/>
        </w:rPr>
        <w:t>b) Entre las 16:42 y 16:43 (1 minuto) pasaron 3 coches (1 del Negro y 2 del Rojo).</w:t>
      </w:r>
    </w:p>
    <w:p w:rsidR="00FA3625" w:rsidRDefault="00FA3625" w:rsidP="4E5DF420">
      <w:pPr>
        <w:ind w:left="284" w:hanging="284"/>
        <w:rPr>
          <w:rFonts w:ascii="Arial" w:hAnsi="Arial" w:cs="Arial"/>
          <w:sz w:val="20"/>
          <w:szCs w:val="20"/>
        </w:rPr>
      </w:pPr>
      <w:r w:rsidRPr="4E5DF420">
        <w:rPr>
          <w:rFonts w:ascii="Arial" w:hAnsi="Arial" w:cs="Arial"/>
          <w:sz w:val="20"/>
          <w:szCs w:val="20"/>
          <w:u w:val="single"/>
        </w:rPr>
        <w:t>Líneas 133 Negra y Verde</w:t>
      </w:r>
      <w:r w:rsidRPr="4E5DF420">
        <w:rPr>
          <w:rFonts w:ascii="Arial" w:hAnsi="Arial" w:cs="Arial"/>
          <w:sz w:val="20"/>
          <w:szCs w:val="20"/>
        </w:rPr>
        <w:t xml:space="preserve">: </w:t>
      </w:r>
    </w:p>
    <w:p w:rsidR="00FA3625" w:rsidRDefault="00FA3625" w:rsidP="4E5DF420">
      <w:pPr>
        <w:ind w:left="284"/>
        <w:rPr>
          <w:rFonts w:ascii="Arial" w:hAnsi="Arial" w:cs="Arial"/>
          <w:sz w:val="20"/>
          <w:szCs w:val="20"/>
        </w:rPr>
      </w:pPr>
      <w:r w:rsidRPr="4E5DF420">
        <w:rPr>
          <w:rFonts w:ascii="Arial" w:hAnsi="Arial" w:cs="Arial"/>
          <w:sz w:val="20"/>
          <w:szCs w:val="20"/>
        </w:rPr>
        <w:t>No pasaron coches de ningún ramal entre las 12:57 y 13:22 (25 minutos)</w:t>
      </w:r>
    </w:p>
    <w:p w:rsidR="00FA3625" w:rsidRDefault="00FA3625" w:rsidP="4E5DF420">
      <w:pPr>
        <w:ind w:left="284" w:hanging="284"/>
        <w:rPr>
          <w:rFonts w:ascii="Arial" w:hAnsi="Arial" w:cs="Arial"/>
          <w:sz w:val="20"/>
          <w:szCs w:val="20"/>
        </w:rPr>
      </w:pPr>
      <w:r w:rsidRPr="4E5DF420">
        <w:rPr>
          <w:rFonts w:ascii="Arial" w:hAnsi="Arial" w:cs="Arial"/>
          <w:sz w:val="20"/>
          <w:szCs w:val="20"/>
          <w:u w:val="single"/>
        </w:rPr>
        <w:t>Líneas 138 y 139</w:t>
      </w:r>
      <w:r w:rsidRPr="4E5DF420">
        <w:rPr>
          <w:rFonts w:ascii="Arial" w:hAnsi="Arial" w:cs="Arial"/>
          <w:sz w:val="20"/>
          <w:szCs w:val="20"/>
        </w:rPr>
        <w:t xml:space="preserve">: </w:t>
      </w:r>
    </w:p>
    <w:p w:rsidR="00FA3625" w:rsidRDefault="00FA3625" w:rsidP="4E5DF420">
      <w:pPr>
        <w:ind w:left="284"/>
        <w:rPr>
          <w:rFonts w:ascii="Arial" w:hAnsi="Arial" w:cs="Arial"/>
          <w:sz w:val="20"/>
          <w:szCs w:val="20"/>
        </w:rPr>
      </w:pPr>
      <w:r w:rsidRPr="4E5DF420">
        <w:rPr>
          <w:rFonts w:ascii="Arial" w:hAnsi="Arial" w:cs="Arial"/>
          <w:sz w:val="20"/>
          <w:szCs w:val="20"/>
        </w:rPr>
        <w:t xml:space="preserve">a) Entre las 13:50 y 13:51 (1 minuto) pasaron 2 coches (1 de cada ramal); </w:t>
      </w:r>
    </w:p>
    <w:p w:rsidR="00FA3625" w:rsidRDefault="00FA3625" w:rsidP="4E5DF420">
      <w:pPr>
        <w:ind w:left="284"/>
        <w:rPr>
          <w:rFonts w:ascii="Arial" w:hAnsi="Arial" w:cs="Arial"/>
          <w:sz w:val="20"/>
          <w:szCs w:val="20"/>
        </w:rPr>
      </w:pPr>
      <w:r w:rsidRPr="4E5DF420">
        <w:rPr>
          <w:rFonts w:ascii="Arial" w:hAnsi="Arial" w:cs="Arial"/>
          <w:sz w:val="20"/>
          <w:szCs w:val="20"/>
        </w:rPr>
        <w:t>b) A las 14:38 pasaron 2 coches juntos (1 de cada ramal).</w:t>
      </w:r>
    </w:p>
    <w:p w:rsidR="00FA3625" w:rsidRDefault="00FA3625" w:rsidP="4E5DF420">
      <w:pPr>
        <w:ind w:left="284" w:hanging="284"/>
        <w:rPr>
          <w:rFonts w:ascii="Arial" w:hAnsi="Arial" w:cs="Arial"/>
          <w:sz w:val="20"/>
          <w:szCs w:val="20"/>
        </w:rPr>
      </w:pPr>
      <w:r w:rsidRPr="4E5DF420">
        <w:rPr>
          <w:rFonts w:ascii="Arial" w:hAnsi="Arial" w:cs="Arial"/>
          <w:sz w:val="20"/>
          <w:szCs w:val="20"/>
          <w:u w:val="single"/>
        </w:rPr>
        <w:t>Líneas 142 Negra y Roja</w:t>
      </w:r>
      <w:r w:rsidRPr="4E5DF420">
        <w:rPr>
          <w:rFonts w:ascii="Arial" w:hAnsi="Arial" w:cs="Arial"/>
          <w:sz w:val="20"/>
          <w:szCs w:val="20"/>
        </w:rPr>
        <w:t xml:space="preserve">: </w:t>
      </w:r>
    </w:p>
    <w:p w:rsidR="00FA3625" w:rsidRDefault="00FA3625" w:rsidP="4E5DF420">
      <w:pPr>
        <w:ind w:left="284"/>
        <w:rPr>
          <w:rFonts w:ascii="Arial" w:hAnsi="Arial" w:cs="Arial"/>
          <w:sz w:val="20"/>
          <w:szCs w:val="20"/>
        </w:rPr>
      </w:pPr>
      <w:r w:rsidRPr="4E5DF420">
        <w:rPr>
          <w:rFonts w:ascii="Arial" w:hAnsi="Arial" w:cs="Arial"/>
          <w:sz w:val="20"/>
          <w:szCs w:val="20"/>
        </w:rPr>
        <w:t>A las 16:14 pasaron 2 coches juntos (1 de cada ramal).</w:t>
      </w:r>
    </w:p>
    <w:p w:rsidR="00FA3625" w:rsidRDefault="00FA3625" w:rsidP="4E5DF420">
      <w:pPr>
        <w:ind w:left="284" w:hanging="284"/>
        <w:rPr>
          <w:rFonts w:ascii="Arial" w:hAnsi="Arial" w:cs="Arial"/>
          <w:sz w:val="20"/>
          <w:szCs w:val="20"/>
        </w:rPr>
      </w:pPr>
      <w:r w:rsidRPr="4E5DF420">
        <w:rPr>
          <w:rFonts w:ascii="Arial" w:hAnsi="Arial" w:cs="Arial"/>
          <w:sz w:val="20"/>
          <w:szCs w:val="20"/>
          <w:u w:val="single"/>
        </w:rPr>
        <w:t>Líneas 143 Negra y Roja</w:t>
      </w:r>
      <w:r w:rsidRPr="4E5DF420">
        <w:rPr>
          <w:rFonts w:ascii="Arial" w:hAnsi="Arial" w:cs="Arial"/>
          <w:sz w:val="20"/>
          <w:szCs w:val="20"/>
        </w:rPr>
        <w:t xml:space="preserve">: </w:t>
      </w:r>
    </w:p>
    <w:p w:rsidR="00FA3625" w:rsidRDefault="00FA3625" w:rsidP="4E5DF420">
      <w:pPr>
        <w:ind w:left="284"/>
        <w:rPr>
          <w:rFonts w:ascii="Arial" w:hAnsi="Arial" w:cs="Arial"/>
          <w:sz w:val="20"/>
          <w:szCs w:val="20"/>
        </w:rPr>
      </w:pPr>
      <w:r w:rsidRPr="4E5DF420">
        <w:rPr>
          <w:rFonts w:ascii="Arial" w:hAnsi="Arial" w:cs="Arial"/>
          <w:sz w:val="20"/>
          <w:szCs w:val="20"/>
        </w:rPr>
        <w:t xml:space="preserve">a) Entre las 14:24 y 14:25 (1 minuto) pasaron 2 coches (1 de cada ramal); </w:t>
      </w:r>
    </w:p>
    <w:p w:rsidR="00FA3625" w:rsidRDefault="00FA3625" w:rsidP="4E5DF420">
      <w:pPr>
        <w:ind w:left="284"/>
        <w:rPr>
          <w:rFonts w:ascii="Arial" w:hAnsi="Arial" w:cs="Arial"/>
          <w:sz w:val="20"/>
          <w:szCs w:val="20"/>
        </w:rPr>
      </w:pPr>
      <w:r w:rsidRPr="4E5DF420">
        <w:rPr>
          <w:rFonts w:ascii="Arial" w:hAnsi="Arial" w:cs="Arial"/>
          <w:sz w:val="20"/>
          <w:szCs w:val="20"/>
        </w:rPr>
        <w:t>b) Entre las 14:24 y 14:29 (5 minutos) pasaron 3 coches (1 del Negro y 2 del Rojo).</w:t>
      </w:r>
    </w:p>
    <w:p w:rsidR="00FA3625" w:rsidRDefault="00FA3625" w:rsidP="4E5DF420">
      <w:pPr>
        <w:ind w:left="284" w:hanging="284"/>
        <w:rPr>
          <w:rFonts w:ascii="Arial" w:hAnsi="Arial" w:cs="Arial"/>
          <w:sz w:val="20"/>
          <w:szCs w:val="20"/>
        </w:rPr>
      </w:pPr>
      <w:r w:rsidRPr="4E5DF420">
        <w:rPr>
          <w:rFonts w:ascii="Arial" w:hAnsi="Arial" w:cs="Arial"/>
          <w:sz w:val="20"/>
          <w:szCs w:val="20"/>
          <w:u w:val="single"/>
        </w:rPr>
        <w:t>Línea 146 Negra y Roja</w:t>
      </w:r>
      <w:r w:rsidRPr="4E5DF420">
        <w:rPr>
          <w:rFonts w:ascii="Arial" w:hAnsi="Arial" w:cs="Arial"/>
          <w:sz w:val="20"/>
          <w:szCs w:val="20"/>
        </w:rPr>
        <w:t xml:space="preserve">: </w:t>
      </w:r>
    </w:p>
    <w:p w:rsidR="00FA3625" w:rsidRDefault="00FA3625" w:rsidP="4E5DF420">
      <w:pPr>
        <w:ind w:left="284"/>
        <w:rPr>
          <w:rFonts w:ascii="Arial" w:hAnsi="Arial" w:cs="Arial"/>
          <w:sz w:val="20"/>
          <w:szCs w:val="20"/>
        </w:rPr>
      </w:pPr>
      <w:r w:rsidRPr="4E5DF420">
        <w:rPr>
          <w:rFonts w:ascii="Arial" w:hAnsi="Arial" w:cs="Arial"/>
          <w:sz w:val="20"/>
          <w:szCs w:val="20"/>
        </w:rPr>
        <w:t>Entre las 17:55 y 17:56 (1 minuto) pasaron 2 coches (1 de cada ramal).</w:t>
      </w:r>
    </w:p>
    <w:p w:rsidR="00FA3625" w:rsidRDefault="00FA3625" w:rsidP="00AE51E0">
      <w:pPr>
        <w:ind w:firstLine="180"/>
        <w:rPr>
          <w:rFonts w:ascii="Arial" w:hAnsi="Arial" w:cs="Arial"/>
          <w:sz w:val="20"/>
          <w:szCs w:val="20"/>
        </w:rPr>
      </w:pPr>
    </w:p>
    <w:p w:rsidR="00FA3625" w:rsidRDefault="00FA3625" w:rsidP="004C0CF0">
      <w:pPr>
        <w:jc w:val="both"/>
        <w:rPr>
          <w:rFonts w:ascii="Arial" w:hAnsi="Arial" w:cs="Arial"/>
          <w:sz w:val="20"/>
          <w:szCs w:val="20"/>
        </w:rPr>
      </w:pPr>
      <w:r w:rsidRPr="4E5DF420">
        <w:rPr>
          <w:rFonts w:ascii="Arial" w:hAnsi="Arial" w:cs="Arial"/>
          <w:sz w:val="20"/>
          <w:szCs w:val="20"/>
        </w:rPr>
        <w:t>Naturalmente, antes o después de pasos muy poco espaciados entre coches se suscitan extensos lapsos donde no se registra paso de unidad alguna, algo que se ha visto reflejado en las tablas antes presentadas donde se individualizan los lapsos máximos entre coches así como la irregularidad relativa de las líneas en cuestión.</w:t>
      </w:r>
    </w:p>
    <w:p w:rsidR="00FA3625" w:rsidRDefault="00FA3625" w:rsidP="004C0CF0">
      <w:pPr>
        <w:ind w:firstLine="180"/>
        <w:jc w:val="both"/>
        <w:rPr>
          <w:rFonts w:ascii="Arial" w:hAnsi="Arial" w:cs="Arial"/>
          <w:sz w:val="20"/>
          <w:szCs w:val="20"/>
        </w:rPr>
      </w:pPr>
    </w:p>
    <w:p w:rsidR="00FA3625" w:rsidRDefault="00FA3625" w:rsidP="00AE51E0">
      <w:pPr>
        <w:ind w:firstLine="180"/>
        <w:rPr>
          <w:rFonts w:ascii="Arial" w:hAnsi="Arial" w:cs="Arial"/>
          <w:sz w:val="20"/>
          <w:szCs w:val="20"/>
        </w:rPr>
      </w:pPr>
    </w:p>
    <w:p w:rsidR="00FA3625" w:rsidRPr="001C6433" w:rsidRDefault="00FA3625" w:rsidP="4E5DF420">
      <w:pPr>
        <w:rPr>
          <w:rFonts w:ascii="Arial" w:hAnsi="Arial" w:cs="Arial"/>
          <w:b/>
          <w:bCs/>
          <w:sz w:val="22"/>
          <w:szCs w:val="22"/>
        </w:rPr>
      </w:pPr>
      <w:r w:rsidRPr="4E5DF420">
        <w:rPr>
          <w:rFonts w:ascii="Arial" w:hAnsi="Arial" w:cs="Arial"/>
          <w:b/>
          <w:bCs/>
          <w:sz w:val="22"/>
          <w:szCs w:val="22"/>
        </w:rPr>
        <w:t>Climatización de las unidades</w:t>
      </w:r>
    </w:p>
    <w:p w:rsidR="00FA3625" w:rsidRDefault="00FA3625" w:rsidP="004C0CF0">
      <w:pPr>
        <w:rPr>
          <w:rFonts w:ascii="Arial" w:hAnsi="Arial" w:cs="Arial"/>
          <w:sz w:val="20"/>
          <w:szCs w:val="20"/>
        </w:rPr>
      </w:pPr>
      <w:r w:rsidRPr="4E5DF420">
        <w:rPr>
          <w:rFonts w:ascii="Arial" w:hAnsi="Arial" w:cs="Arial"/>
          <w:sz w:val="20"/>
          <w:szCs w:val="20"/>
        </w:rPr>
        <w:t>A diferencia de lo que acontece durante la temporada veraniega, durante los meses del invierno no son utilizados los equipos de aire acondicionado en la modalidad de frío, aunque pueden ser utilizados en la modalidad de calor. Sin embargo, a diferencia del verano, cuando las ventanillas cerradas dan a entender que está en funcionamiento la refrigeración interior, en esta temporada no es posible comprobar a simple vista desde fuera si un coche dado tiene operativa la calefacción; por ello, lo único que se ha relevado en esta jornada ha sido la existencia del equipamiento de aire acondicionado en el parque observado.</w:t>
      </w:r>
    </w:p>
    <w:p w:rsidR="00FA3625" w:rsidRDefault="00FA3625" w:rsidP="009B7F75">
      <w:pPr>
        <w:rPr>
          <w:rFonts w:ascii="Arial" w:hAnsi="Arial" w:cs="Arial"/>
          <w:sz w:val="20"/>
          <w:szCs w:val="20"/>
        </w:rPr>
      </w:pPr>
    </w:p>
    <w:tbl>
      <w:tblPr>
        <w:tblW w:w="8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9"/>
        <w:gridCol w:w="2196"/>
        <w:gridCol w:w="2647"/>
        <w:gridCol w:w="1283"/>
      </w:tblGrid>
      <w:tr w:rsidR="00FA3625" w:rsidRPr="00F17003" w:rsidTr="4E5DF420">
        <w:trPr>
          <w:cantSplit/>
          <w:tblHeader/>
          <w:jc w:val="center"/>
        </w:trPr>
        <w:tc>
          <w:tcPr>
            <w:tcW w:w="1889"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Empresa</w:t>
            </w:r>
          </w:p>
        </w:tc>
        <w:tc>
          <w:tcPr>
            <w:tcW w:w="2196"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Servicios relevados durante la jornada</w:t>
            </w:r>
          </w:p>
        </w:tc>
        <w:tc>
          <w:tcPr>
            <w:tcW w:w="2647"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Unidades equipadas con A.A. (operativas o no)</w:t>
            </w:r>
          </w:p>
        </w:tc>
        <w:tc>
          <w:tcPr>
            <w:tcW w:w="1283"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Proporción</w:t>
            </w:r>
          </w:p>
        </w:tc>
      </w:tr>
      <w:tr w:rsidR="00FA3625" w:rsidRPr="00F17003" w:rsidTr="4E5DF420">
        <w:trPr>
          <w:cantSplit/>
          <w:jc w:val="center"/>
        </w:trPr>
        <w:tc>
          <w:tcPr>
            <w:tcW w:w="1889" w:type="dxa"/>
            <w:vAlign w:val="center"/>
          </w:tcPr>
          <w:p w:rsidR="00FA3625" w:rsidRPr="00F17003" w:rsidRDefault="00FA3625" w:rsidP="4E5DF420">
            <w:pPr>
              <w:ind w:left="-57"/>
              <w:rPr>
                <w:rFonts w:ascii="Arial" w:hAnsi="Arial" w:cs="Arial"/>
                <w:sz w:val="20"/>
                <w:szCs w:val="20"/>
              </w:rPr>
            </w:pPr>
            <w:r w:rsidRPr="4E5DF420">
              <w:rPr>
                <w:rFonts w:ascii="Arial" w:hAnsi="Arial" w:cs="Arial"/>
                <w:sz w:val="20"/>
                <w:szCs w:val="20"/>
              </w:rPr>
              <w:t>EMTR</w:t>
            </w:r>
          </w:p>
        </w:tc>
        <w:tc>
          <w:tcPr>
            <w:tcW w:w="2196"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40</w:t>
            </w:r>
          </w:p>
        </w:tc>
        <w:tc>
          <w:tcPr>
            <w:tcW w:w="2647"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17</w:t>
            </w:r>
          </w:p>
        </w:tc>
        <w:tc>
          <w:tcPr>
            <w:tcW w:w="1283"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43 %</w:t>
            </w:r>
          </w:p>
        </w:tc>
      </w:tr>
      <w:tr w:rsidR="00FA3625" w:rsidRPr="00F17003" w:rsidTr="4E5DF420">
        <w:trPr>
          <w:cantSplit/>
          <w:jc w:val="center"/>
        </w:trPr>
        <w:tc>
          <w:tcPr>
            <w:tcW w:w="1889" w:type="dxa"/>
            <w:vAlign w:val="center"/>
          </w:tcPr>
          <w:p w:rsidR="00FA3625" w:rsidRPr="00F17003" w:rsidRDefault="00FA3625" w:rsidP="4E5DF420">
            <w:pPr>
              <w:ind w:left="-57"/>
              <w:rPr>
                <w:rFonts w:ascii="Arial" w:hAnsi="Arial" w:cs="Arial"/>
                <w:sz w:val="20"/>
                <w:szCs w:val="20"/>
              </w:rPr>
            </w:pPr>
            <w:r w:rsidRPr="4E5DF420">
              <w:rPr>
                <w:rFonts w:ascii="Arial" w:hAnsi="Arial" w:cs="Arial"/>
                <w:sz w:val="20"/>
                <w:szCs w:val="20"/>
              </w:rPr>
              <w:t>Rosario Bus</w:t>
            </w:r>
          </w:p>
        </w:tc>
        <w:tc>
          <w:tcPr>
            <w:tcW w:w="2196"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163</w:t>
            </w:r>
          </w:p>
        </w:tc>
        <w:tc>
          <w:tcPr>
            <w:tcW w:w="2647"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88</w:t>
            </w:r>
          </w:p>
        </w:tc>
        <w:tc>
          <w:tcPr>
            <w:tcW w:w="1283"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54 %</w:t>
            </w:r>
          </w:p>
        </w:tc>
      </w:tr>
      <w:tr w:rsidR="00FA3625" w:rsidRPr="00F17003" w:rsidTr="4E5DF420">
        <w:trPr>
          <w:cantSplit/>
          <w:jc w:val="center"/>
        </w:trPr>
        <w:tc>
          <w:tcPr>
            <w:tcW w:w="1889" w:type="dxa"/>
            <w:vAlign w:val="center"/>
          </w:tcPr>
          <w:p w:rsidR="00FA3625" w:rsidRPr="00F17003" w:rsidRDefault="00FA3625" w:rsidP="4E5DF420">
            <w:pPr>
              <w:ind w:left="-57"/>
              <w:rPr>
                <w:rFonts w:ascii="Arial" w:hAnsi="Arial" w:cs="Arial"/>
                <w:sz w:val="20"/>
                <w:szCs w:val="20"/>
              </w:rPr>
            </w:pPr>
            <w:r w:rsidRPr="4E5DF420">
              <w:rPr>
                <w:rFonts w:ascii="Arial" w:hAnsi="Arial" w:cs="Arial"/>
                <w:sz w:val="20"/>
                <w:szCs w:val="20"/>
              </w:rPr>
              <w:t>SEMTUR</w:t>
            </w:r>
          </w:p>
        </w:tc>
        <w:tc>
          <w:tcPr>
            <w:tcW w:w="2196"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96,5</w:t>
            </w:r>
          </w:p>
        </w:tc>
        <w:tc>
          <w:tcPr>
            <w:tcW w:w="2647"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35</w:t>
            </w:r>
          </w:p>
        </w:tc>
        <w:tc>
          <w:tcPr>
            <w:tcW w:w="1283" w:type="dxa"/>
            <w:vAlign w:val="center"/>
          </w:tcPr>
          <w:p w:rsidR="00FA3625" w:rsidRPr="00F17003" w:rsidRDefault="00FA3625" w:rsidP="4E5DF420">
            <w:pPr>
              <w:jc w:val="center"/>
              <w:rPr>
                <w:rFonts w:ascii="Arial" w:hAnsi="Arial" w:cs="Arial"/>
                <w:sz w:val="20"/>
                <w:szCs w:val="20"/>
              </w:rPr>
            </w:pPr>
            <w:r w:rsidRPr="4E5DF420">
              <w:rPr>
                <w:rFonts w:ascii="Arial" w:hAnsi="Arial" w:cs="Arial"/>
                <w:sz w:val="20"/>
                <w:szCs w:val="20"/>
              </w:rPr>
              <w:t>36 %</w:t>
            </w:r>
          </w:p>
        </w:tc>
      </w:tr>
      <w:tr w:rsidR="00FA3625" w:rsidRPr="00F17003" w:rsidTr="4E5DF420">
        <w:trPr>
          <w:cantSplit/>
          <w:jc w:val="center"/>
        </w:trPr>
        <w:tc>
          <w:tcPr>
            <w:tcW w:w="1889" w:type="dxa"/>
            <w:vAlign w:val="center"/>
          </w:tcPr>
          <w:p w:rsidR="00FA3625" w:rsidRPr="00F17003" w:rsidRDefault="00FA3625" w:rsidP="4E5DF420">
            <w:pPr>
              <w:ind w:left="-57"/>
              <w:jc w:val="right"/>
              <w:rPr>
                <w:rFonts w:ascii="Arial" w:hAnsi="Arial" w:cs="Arial"/>
                <w:b/>
                <w:bCs/>
                <w:sz w:val="20"/>
                <w:szCs w:val="20"/>
              </w:rPr>
            </w:pPr>
            <w:r w:rsidRPr="4E5DF420">
              <w:rPr>
                <w:rFonts w:ascii="Arial" w:hAnsi="Arial" w:cs="Arial"/>
                <w:b/>
                <w:bCs/>
                <w:sz w:val="20"/>
                <w:szCs w:val="20"/>
              </w:rPr>
              <w:t>Total relevado</w:t>
            </w:r>
          </w:p>
        </w:tc>
        <w:tc>
          <w:tcPr>
            <w:tcW w:w="2196"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299,5</w:t>
            </w:r>
          </w:p>
        </w:tc>
        <w:tc>
          <w:tcPr>
            <w:tcW w:w="2647"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140</w:t>
            </w:r>
          </w:p>
        </w:tc>
        <w:tc>
          <w:tcPr>
            <w:tcW w:w="1283" w:type="dxa"/>
            <w:vAlign w:val="center"/>
          </w:tcPr>
          <w:p w:rsidR="00FA3625" w:rsidRPr="00F17003" w:rsidRDefault="00FA3625" w:rsidP="4E5DF420">
            <w:pPr>
              <w:jc w:val="center"/>
              <w:rPr>
                <w:rFonts w:ascii="Arial" w:hAnsi="Arial" w:cs="Arial"/>
                <w:b/>
                <w:bCs/>
                <w:sz w:val="20"/>
                <w:szCs w:val="20"/>
              </w:rPr>
            </w:pPr>
            <w:r w:rsidRPr="4E5DF420">
              <w:rPr>
                <w:rFonts w:ascii="Arial" w:hAnsi="Arial" w:cs="Arial"/>
                <w:b/>
                <w:bCs/>
                <w:sz w:val="20"/>
                <w:szCs w:val="20"/>
              </w:rPr>
              <w:t>47 %</w:t>
            </w:r>
          </w:p>
        </w:tc>
      </w:tr>
    </w:tbl>
    <w:p w:rsidR="00FA3625" w:rsidRDefault="00FA3625" w:rsidP="009B7F75">
      <w:pPr>
        <w:rPr>
          <w:rFonts w:ascii="Arial" w:hAnsi="Arial" w:cs="Arial"/>
          <w:sz w:val="20"/>
          <w:szCs w:val="20"/>
        </w:rPr>
      </w:pPr>
    </w:p>
    <w:p w:rsidR="00FA3625" w:rsidRDefault="00FA3625" w:rsidP="004C0CF0">
      <w:pPr>
        <w:jc w:val="both"/>
        <w:rPr>
          <w:rFonts w:ascii="Arial" w:hAnsi="Arial" w:cs="Arial"/>
          <w:sz w:val="20"/>
          <w:szCs w:val="20"/>
        </w:rPr>
      </w:pPr>
      <w:r w:rsidRPr="4E5DF420">
        <w:rPr>
          <w:rFonts w:ascii="Arial" w:hAnsi="Arial" w:cs="Arial"/>
          <w:sz w:val="20"/>
          <w:szCs w:val="20"/>
        </w:rPr>
        <w:t>A la vista de estas cifras, resulta que todavía no se alcanza el nivel del 58% de unidades equipadas con aire acondicionado informado por la Municipalidad durante el mes de enero del corriente año (</w:t>
      </w:r>
      <w:hyperlink r:id="rId6">
        <w:r w:rsidRPr="4E5DF420">
          <w:rPr>
            <w:rStyle w:val="Hyperlink"/>
            <w:rFonts w:ascii="Arial" w:hAnsi="Arial" w:cs="Arial"/>
            <w:sz w:val="20"/>
            <w:szCs w:val="20"/>
          </w:rPr>
          <w:t>http://www.lacapital.com.ar/la-municipalidad-dice-que-casi-el-60-por-ciento-los-colectivos-cuenta-aire-n499251</w:t>
        </w:r>
      </w:hyperlink>
      <w:r w:rsidRPr="4E5DF420">
        <w:rPr>
          <w:rFonts w:ascii="Arial" w:hAnsi="Arial" w:cs="Arial"/>
          <w:sz w:val="20"/>
          <w:szCs w:val="20"/>
        </w:rPr>
        <w:t>).</w:t>
      </w:r>
    </w:p>
    <w:p w:rsidR="00FA3625" w:rsidRDefault="00FA3625" w:rsidP="004C0CF0">
      <w:pPr>
        <w:ind w:firstLine="180"/>
        <w:jc w:val="both"/>
        <w:rPr>
          <w:rFonts w:ascii="Arial" w:hAnsi="Arial" w:cs="Arial"/>
          <w:sz w:val="20"/>
          <w:szCs w:val="20"/>
        </w:rPr>
      </w:pPr>
    </w:p>
    <w:p w:rsidR="00FA3625" w:rsidRDefault="00FA3625" w:rsidP="004C0CF0">
      <w:pPr>
        <w:jc w:val="both"/>
        <w:rPr>
          <w:rFonts w:ascii="Arial" w:hAnsi="Arial" w:cs="Arial"/>
          <w:sz w:val="20"/>
          <w:szCs w:val="20"/>
        </w:rPr>
      </w:pPr>
      <w:r w:rsidRPr="4E5DF420">
        <w:rPr>
          <w:rFonts w:ascii="Arial" w:hAnsi="Arial" w:cs="Arial"/>
          <w:sz w:val="20"/>
          <w:szCs w:val="20"/>
        </w:rPr>
        <w:t>No obstante, es necesario destacar que se mantienen grandes diferencias entre las líneas que cuentan con unidades equipadas con aire acondicionado, significando un notorio perjuicio para los usuarios de aquellas que no cuentan con ellas o que las tienen en menor proporción. Las siguientes cifras corresponden a lo relevado en la jornada aludida:</w:t>
      </w:r>
    </w:p>
    <w:p w:rsidR="00FA3625" w:rsidRDefault="00FA3625" w:rsidP="001C7FE1">
      <w:pPr>
        <w:rPr>
          <w:rFonts w:ascii="Arial" w:hAnsi="Arial" w:cs="Arial"/>
          <w:sz w:val="20"/>
          <w:szCs w:val="20"/>
        </w:rPr>
      </w:pPr>
    </w:p>
    <w:p w:rsidR="00FA3625" w:rsidRPr="005D2853" w:rsidRDefault="00FA3625" w:rsidP="4E5DF420">
      <w:pPr>
        <w:jc w:val="center"/>
        <w:rPr>
          <w:rFonts w:ascii="Arial" w:hAnsi="Arial" w:cs="Arial"/>
          <w:i/>
          <w:iCs/>
          <w:sz w:val="20"/>
          <w:szCs w:val="20"/>
        </w:rPr>
      </w:pPr>
      <w:r w:rsidRPr="4E5DF420">
        <w:rPr>
          <w:rFonts w:ascii="Arial" w:hAnsi="Arial" w:cs="Arial"/>
          <w:i/>
          <w:iCs/>
          <w:sz w:val="20"/>
          <w:szCs w:val="20"/>
        </w:rPr>
        <w:t>Más equipadas                                                      Menos equipadas</w:t>
      </w:r>
    </w:p>
    <w:tbl>
      <w:tblPr>
        <w:tblW w:w="0" w:type="auto"/>
        <w:jc w:val="center"/>
        <w:tblLook w:val="01E0"/>
      </w:tblPr>
      <w:tblGrid>
        <w:gridCol w:w="1610"/>
        <w:gridCol w:w="1477"/>
        <w:gridCol w:w="1217"/>
        <w:gridCol w:w="548"/>
        <w:gridCol w:w="1572"/>
        <w:gridCol w:w="1488"/>
        <w:gridCol w:w="1217"/>
      </w:tblGrid>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Línea</w:t>
            </w:r>
          </w:p>
        </w:tc>
        <w:tc>
          <w:tcPr>
            <w:tcW w:w="1477"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Empresa</w:t>
            </w:r>
          </w:p>
        </w:tc>
        <w:tc>
          <w:tcPr>
            <w:tcW w:w="1160"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 Equipamiento</w:t>
            </w:r>
          </w:p>
        </w:tc>
        <w:tc>
          <w:tcPr>
            <w:tcW w:w="548" w:type="dxa"/>
            <w:tcBorders>
              <w:left w:val="single" w:sz="4" w:space="0" w:color="auto"/>
              <w:right w:val="single" w:sz="4" w:space="0" w:color="auto"/>
            </w:tcBorders>
            <w:vAlign w:val="center"/>
          </w:tcPr>
          <w:p w:rsidR="00FA3625" w:rsidRPr="00F17003" w:rsidRDefault="00FA3625" w:rsidP="00F17003">
            <w:pPr>
              <w:ind w:left="-57" w:right="-57"/>
              <w:jc w:val="center"/>
              <w:rPr>
                <w:rFonts w:ascii="Arial" w:hAnsi="Arial" w:cs="Arial"/>
                <w:b/>
                <w:sz w:val="16"/>
                <w:szCs w:val="16"/>
              </w:rPr>
            </w:pPr>
          </w:p>
        </w:tc>
        <w:tc>
          <w:tcPr>
            <w:tcW w:w="1572"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Línea</w:t>
            </w:r>
          </w:p>
        </w:tc>
        <w:tc>
          <w:tcPr>
            <w:tcW w:w="1488"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Empresa</w:t>
            </w:r>
          </w:p>
        </w:tc>
        <w:tc>
          <w:tcPr>
            <w:tcW w:w="1160" w:type="dxa"/>
            <w:tcBorders>
              <w:top w:val="single" w:sz="4" w:space="0" w:color="auto"/>
              <w:left w:val="single" w:sz="4" w:space="0" w:color="auto"/>
              <w:bottom w:val="single" w:sz="4" w:space="0" w:color="auto"/>
              <w:right w:val="single" w:sz="4" w:space="0" w:color="auto"/>
            </w:tcBorders>
            <w:vAlign w:val="center"/>
          </w:tcPr>
          <w:p w:rsidR="00FA3625" w:rsidRPr="00F17003" w:rsidRDefault="00FA3625" w:rsidP="4E5DF420">
            <w:pPr>
              <w:ind w:left="-57" w:right="-57"/>
              <w:jc w:val="center"/>
              <w:rPr>
                <w:rFonts w:ascii="Arial" w:hAnsi="Arial" w:cs="Arial"/>
                <w:b/>
                <w:bCs/>
                <w:sz w:val="16"/>
                <w:szCs w:val="16"/>
              </w:rPr>
            </w:pPr>
            <w:r w:rsidRPr="4E5DF420">
              <w:rPr>
                <w:rFonts w:ascii="Arial" w:hAnsi="Arial" w:cs="Arial"/>
                <w:b/>
                <w:bCs/>
                <w:sz w:val="16"/>
                <w:szCs w:val="16"/>
              </w:rPr>
              <w:t>% Equipamiento</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115 Aeropuerto</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100 %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102 Negra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0 %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143 Negra</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100 %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128 Negra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0 %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143 Roja</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100%</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Ronda del Centro</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0 %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142 Roja</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96 %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107 Roja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10 %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142 Negra</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88 %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101 Negra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11 %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122 Verde</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57 %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146 Roja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18 %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138</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44 %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121</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18 %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139</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44 %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115</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EMTR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24 %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113</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42 %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107 Negra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31 %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133 Negra</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42 %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122 Roja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31 %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101 Roja</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40 %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128 Roja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32 %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133 Verde</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36 %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146 Negra</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Rosario Bus</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33 %</w:t>
            </w:r>
          </w:p>
        </w:tc>
      </w:tr>
      <w:tr w:rsidR="00FA3625" w:rsidRPr="00F17003" w:rsidTr="4E5DF420">
        <w:trPr>
          <w:jc w:val="center"/>
        </w:trPr>
        <w:tc>
          <w:tcPr>
            <w:tcW w:w="161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120</w:t>
            </w:r>
          </w:p>
        </w:tc>
        <w:tc>
          <w:tcPr>
            <w:tcW w:w="1477"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35 %</w:t>
            </w:r>
          </w:p>
        </w:tc>
        <w:tc>
          <w:tcPr>
            <w:tcW w:w="548" w:type="dxa"/>
            <w:tcBorders>
              <w:left w:val="single" w:sz="4" w:space="0" w:color="auto"/>
              <w:right w:val="single" w:sz="4" w:space="0" w:color="auto"/>
            </w:tcBorders>
          </w:tcPr>
          <w:p w:rsidR="00FA3625" w:rsidRPr="00F17003" w:rsidRDefault="00FA3625" w:rsidP="00F17003">
            <w:pPr>
              <w:ind w:left="-57" w:right="-57"/>
              <w:rPr>
                <w:rFonts w:ascii="Arial" w:hAnsi="Arial" w:cs="Arial"/>
                <w:sz w:val="18"/>
                <w:szCs w:val="18"/>
              </w:rPr>
            </w:pPr>
          </w:p>
        </w:tc>
        <w:tc>
          <w:tcPr>
            <w:tcW w:w="1572"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116</w:t>
            </w:r>
          </w:p>
        </w:tc>
        <w:tc>
          <w:tcPr>
            <w:tcW w:w="1488"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rPr>
                <w:rFonts w:ascii="Arial" w:hAnsi="Arial" w:cs="Arial"/>
                <w:sz w:val="18"/>
                <w:szCs w:val="18"/>
              </w:rPr>
            </w:pPr>
            <w:r w:rsidRPr="4E5DF420">
              <w:rPr>
                <w:rFonts w:ascii="Arial" w:hAnsi="Arial" w:cs="Arial"/>
                <w:sz w:val="18"/>
                <w:szCs w:val="18"/>
              </w:rPr>
              <w:t>SEMTUR</w:t>
            </w:r>
          </w:p>
        </w:tc>
        <w:tc>
          <w:tcPr>
            <w:tcW w:w="1160" w:type="dxa"/>
            <w:tcBorders>
              <w:top w:val="single" w:sz="4" w:space="0" w:color="auto"/>
              <w:left w:val="single" w:sz="4" w:space="0" w:color="auto"/>
              <w:bottom w:val="single" w:sz="4" w:space="0" w:color="auto"/>
              <w:right w:val="single" w:sz="4" w:space="0" w:color="auto"/>
            </w:tcBorders>
          </w:tcPr>
          <w:p w:rsidR="00FA3625" w:rsidRPr="00F17003" w:rsidRDefault="00FA3625" w:rsidP="4E5DF420">
            <w:pPr>
              <w:ind w:left="-57" w:right="-57"/>
              <w:jc w:val="center"/>
              <w:rPr>
                <w:rFonts w:ascii="Arial" w:hAnsi="Arial" w:cs="Arial"/>
                <w:sz w:val="18"/>
                <w:szCs w:val="18"/>
              </w:rPr>
            </w:pPr>
            <w:r w:rsidRPr="4E5DF420">
              <w:rPr>
                <w:rFonts w:ascii="Arial" w:hAnsi="Arial" w:cs="Arial"/>
                <w:sz w:val="18"/>
                <w:szCs w:val="18"/>
              </w:rPr>
              <w:t>33 %</w:t>
            </w:r>
          </w:p>
        </w:tc>
      </w:tr>
    </w:tbl>
    <w:p w:rsidR="00FA3625" w:rsidRDefault="00FA3625" w:rsidP="00AE51E0">
      <w:pPr>
        <w:ind w:firstLine="180"/>
        <w:rPr>
          <w:rFonts w:ascii="Arial" w:hAnsi="Arial" w:cs="Arial"/>
          <w:sz w:val="20"/>
          <w:szCs w:val="20"/>
        </w:rPr>
      </w:pPr>
    </w:p>
    <w:p w:rsidR="00FA3625" w:rsidRDefault="00FA3625" w:rsidP="00AE51E0">
      <w:pPr>
        <w:ind w:firstLine="180"/>
        <w:rPr>
          <w:rFonts w:ascii="Arial" w:hAnsi="Arial" w:cs="Arial"/>
          <w:sz w:val="20"/>
          <w:szCs w:val="20"/>
        </w:rPr>
      </w:pPr>
    </w:p>
    <w:p w:rsidR="00FA3625" w:rsidRDefault="00FA3625" w:rsidP="4E5DF420">
      <w:pPr>
        <w:rPr>
          <w:rFonts w:ascii="Arial" w:hAnsi="Arial" w:cs="Arial"/>
          <w:b/>
          <w:bCs/>
          <w:sz w:val="22"/>
          <w:szCs w:val="22"/>
        </w:rPr>
      </w:pPr>
    </w:p>
    <w:p w:rsidR="00FA3625" w:rsidRPr="002E45F9" w:rsidRDefault="00FA3625" w:rsidP="4E5DF420">
      <w:pPr>
        <w:rPr>
          <w:rFonts w:ascii="Arial" w:hAnsi="Arial" w:cs="Arial"/>
          <w:b/>
          <w:bCs/>
          <w:sz w:val="22"/>
          <w:szCs w:val="22"/>
        </w:rPr>
      </w:pPr>
      <w:r w:rsidRPr="4E5DF420">
        <w:rPr>
          <w:rFonts w:ascii="Arial" w:hAnsi="Arial" w:cs="Arial"/>
          <w:b/>
          <w:bCs/>
          <w:sz w:val="22"/>
          <w:szCs w:val="22"/>
        </w:rPr>
        <w:t>Conclusión</w:t>
      </w:r>
    </w:p>
    <w:p w:rsidR="00FA3625" w:rsidRDefault="00FA3625" w:rsidP="4E5DF420">
      <w:pPr>
        <w:rPr>
          <w:rFonts w:ascii="Arial" w:hAnsi="Arial" w:cs="Arial"/>
          <w:sz w:val="20"/>
          <w:szCs w:val="20"/>
        </w:rPr>
      </w:pPr>
    </w:p>
    <w:p w:rsidR="00FA3625" w:rsidRDefault="00FA3625" w:rsidP="004C0CF0">
      <w:pPr>
        <w:jc w:val="both"/>
        <w:rPr>
          <w:rFonts w:ascii="Arial" w:hAnsi="Arial" w:cs="Arial"/>
          <w:sz w:val="20"/>
          <w:szCs w:val="20"/>
        </w:rPr>
      </w:pPr>
      <w:r w:rsidRPr="4E5DF420">
        <w:rPr>
          <w:rFonts w:ascii="Arial" w:hAnsi="Arial" w:cs="Arial"/>
          <w:sz w:val="20"/>
          <w:szCs w:val="20"/>
        </w:rPr>
        <w:t xml:space="preserve">En esta jornada </w:t>
      </w:r>
      <w:r>
        <w:rPr>
          <w:rFonts w:ascii="Arial" w:hAnsi="Arial" w:cs="Arial"/>
          <w:sz w:val="20"/>
          <w:szCs w:val="20"/>
        </w:rPr>
        <w:t>se destaca</w:t>
      </w:r>
      <w:r w:rsidRPr="4E5DF420">
        <w:rPr>
          <w:rFonts w:ascii="Arial" w:hAnsi="Arial" w:cs="Arial"/>
          <w:sz w:val="20"/>
          <w:szCs w:val="20"/>
        </w:rPr>
        <w:t xml:space="preserve"> la irregularidad en las frecuencias que ha provocado grandes altibajos en los lapsos transcurridos entre coches (46 minutos como máximo, con 11 casos superando la media hora de espera). Este efecto se agrava a partir de las frecuencias promedio de las líneas relevadas (casi 14 minutos y medio) que dista cerca de un 50% de la cifra alegada por el Ente de la Movilidad (</w:t>
      </w:r>
      <w:r w:rsidRPr="4E5DF420">
        <w:rPr>
          <w:rFonts w:ascii="Arial" w:hAnsi="Arial" w:cs="Arial"/>
          <w:i/>
          <w:iCs/>
          <w:sz w:val="20"/>
          <w:szCs w:val="20"/>
        </w:rPr>
        <w:t>“alrededor de 10 minutos”</w:t>
      </w:r>
      <w:r w:rsidRPr="4E5DF420">
        <w:rPr>
          <w:rFonts w:ascii="Arial" w:hAnsi="Arial" w:cs="Arial"/>
          <w:sz w:val="20"/>
          <w:szCs w:val="20"/>
        </w:rPr>
        <w:t xml:space="preserve"> </w:t>
      </w:r>
      <w:r w:rsidRPr="4E5DF420">
        <w:rPr>
          <w:rFonts w:ascii="Arial" w:hAnsi="Arial" w:cs="Arial"/>
          <w:i/>
          <w:iCs/>
          <w:sz w:val="20"/>
          <w:szCs w:val="20"/>
        </w:rPr>
        <w:t>según entrevista radial realizada a la titular de dicho organismo durante la mañana del mismo día del relevamiento aquí reportado</w:t>
      </w:r>
      <w:r w:rsidRPr="4E5DF420">
        <w:rPr>
          <w:rFonts w:ascii="Arial" w:hAnsi="Arial" w:cs="Arial"/>
          <w:sz w:val="20"/>
          <w:szCs w:val="20"/>
        </w:rPr>
        <w:t xml:space="preserve">). </w:t>
      </w:r>
    </w:p>
    <w:p w:rsidR="00FA3625" w:rsidRDefault="00FA3625" w:rsidP="004C0CF0">
      <w:pPr>
        <w:jc w:val="both"/>
        <w:rPr>
          <w:rFonts w:ascii="Arial" w:hAnsi="Arial" w:cs="Arial"/>
          <w:sz w:val="20"/>
          <w:szCs w:val="20"/>
        </w:rPr>
      </w:pPr>
      <w:r w:rsidRPr="4E5DF420">
        <w:rPr>
          <w:rFonts w:ascii="Arial" w:hAnsi="Arial" w:cs="Arial"/>
          <w:sz w:val="20"/>
          <w:szCs w:val="20"/>
        </w:rPr>
        <w:t>Se debe tener en cuenta que estamos haciendo referencia a horarios pico, y en el macrocentro de Rosario, es decir, en una franja horaria y en una zona de la ciudad en la que se entiende que el</w:t>
      </w:r>
      <w:r>
        <w:rPr>
          <w:rFonts w:ascii="Arial" w:hAnsi="Arial" w:cs="Arial"/>
          <w:sz w:val="20"/>
          <w:szCs w:val="20"/>
        </w:rPr>
        <w:t xml:space="preserve"> sistema debería alcanzar su perfomance ó</w:t>
      </w:r>
      <w:r w:rsidRPr="4E5DF420">
        <w:rPr>
          <w:rFonts w:ascii="Arial" w:hAnsi="Arial" w:cs="Arial"/>
          <w:sz w:val="20"/>
          <w:szCs w:val="20"/>
        </w:rPr>
        <w:t>p</w:t>
      </w:r>
      <w:r>
        <w:rPr>
          <w:rFonts w:ascii="Arial" w:hAnsi="Arial" w:cs="Arial"/>
          <w:sz w:val="20"/>
          <w:szCs w:val="20"/>
        </w:rPr>
        <w:t>tima en materia de frecuencias. Vale señalar que cuanto mas nos alejamos de los horarios pico y de las zonas centrales, el sistema va perdiendo aún más en frecuencias promedio y regularidad, agravado por situaciones de corte del servicio por barrios en horarios nocturnos, frecuentemente denunciados por vecinos. En próximos informes documentaremos estas situaciones.</w:t>
      </w:r>
    </w:p>
    <w:p w:rsidR="00FA3625" w:rsidRDefault="00FA3625" w:rsidP="004C0CF0">
      <w:pPr>
        <w:jc w:val="both"/>
        <w:rPr>
          <w:rFonts w:ascii="Arial" w:hAnsi="Arial" w:cs="Arial"/>
          <w:sz w:val="20"/>
          <w:szCs w:val="20"/>
        </w:rPr>
      </w:pPr>
      <w:r w:rsidRPr="4E5DF420">
        <w:rPr>
          <w:rFonts w:ascii="Arial" w:hAnsi="Arial" w:cs="Arial"/>
          <w:sz w:val="20"/>
          <w:szCs w:val="20"/>
        </w:rPr>
        <w:t xml:space="preserve">También hay que destacar que entre las 300 unidades relevadas durante la jornada, solamente </w:t>
      </w:r>
      <w:r w:rsidRPr="4E5DF420">
        <w:rPr>
          <w:rFonts w:ascii="Arial" w:hAnsi="Arial" w:cs="Arial"/>
          <w:b/>
          <w:bCs/>
          <w:sz w:val="20"/>
          <w:szCs w:val="20"/>
          <w:u w:val="single"/>
        </w:rPr>
        <w:t>una</w:t>
      </w:r>
      <w:r w:rsidRPr="4E5DF420">
        <w:rPr>
          <w:rFonts w:ascii="Arial" w:hAnsi="Arial" w:cs="Arial"/>
          <w:sz w:val="20"/>
          <w:szCs w:val="20"/>
        </w:rPr>
        <w:t xml:space="preserve"> (Línea 122 Verde, interno Nº 291) es del tipo articulado de gran capacidad de transporte. Teniendo en cuenta que se dio inicio a la incorporación de este tipo de unidades en el año 2013, la mínima utilización de esta tecnología (en especial por parte de las empresas municipales EMTR y SEMTUR, que tienen asegurada la continuidad de operaciones en la licitación del TUP actualmente en curso) evidencia la escasa importancia que se adjudica por parte de las autoridades a la mejora en las condiciones de los servicios.</w:t>
      </w:r>
    </w:p>
    <w:p w:rsidR="00FA3625" w:rsidRPr="006814BE" w:rsidRDefault="00FA3625" w:rsidP="004C0CF0">
      <w:pPr>
        <w:jc w:val="both"/>
        <w:rPr>
          <w:rFonts w:ascii="Arial" w:hAnsi="Arial" w:cs="Arial"/>
          <w:sz w:val="20"/>
          <w:szCs w:val="20"/>
        </w:rPr>
      </w:pPr>
      <w:r w:rsidRPr="4E5DF420">
        <w:rPr>
          <w:rFonts w:ascii="Arial" w:hAnsi="Arial" w:cs="Arial"/>
          <w:sz w:val="20"/>
          <w:szCs w:val="20"/>
        </w:rPr>
        <w:t>Del mejoramiento de estos factores (y otros que también han sido referidos en el presente informe) depende que el Sistema del TUP de la ciudad de Rosario no continúe sufriendo la progresiva caída en cantidad de usuarios que lo emplean con regularidad</w:t>
      </w:r>
      <w:r>
        <w:rPr>
          <w:rFonts w:ascii="Arial" w:hAnsi="Arial" w:cs="Arial"/>
          <w:sz w:val="20"/>
          <w:szCs w:val="20"/>
        </w:rPr>
        <w:t xml:space="preserve"> (tal como hemos reseñado en informes previos, mostrando números oficiales de los últimos 40 años) </w:t>
      </w:r>
      <w:r w:rsidRPr="4E5DF420">
        <w:rPr>
          <w:rFonts w:ascii="Arial" w:hAnsi="Arial" w:cs="Arial"/>
          <w:sz w:val="20"/>
          <w:szCs w:val="20"/>
        </w:rPr>
        <w:t>, lo que repercute en su migración a otros medios de transporte con efectos negativos de congestión, accidentología, contaminación ambiental, mal uso de los espacios públicos y mayor consumo energético.</w:t>
      </w:r>
    </w:p>
    <w:sectPr w:rsidR="00FA3625" w:rsidRPr="006814BE" w:rsidSect="007A29F8">
      <w:headerReference w:type="default" r:id="rId7"/>
      <w:footerReference w:type="default" r:id="rId8"/>
      <w:pgSz w:w="11906" w:h="16838" w:code="9"/>
      <w:pgMar w:top="2268" w:right="851"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625" w:rsidRDefault="00FA3625">
      <w:r>
        <w:separator/>
      </w:r>
    </w:p>
  </w:endnote>
  <w:endnote w:type="continuationSeparator" w:id="0">
    <w:p w:rsidR="00FA3625" w:rsidRDefault="00FA3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25" w:rsidRPr="007A29F8" w:rsidRDefault="00FA3625" w:rsidP="4E5DF420">
    <w:pPr>
      <w:pStyle w:val="Footer"/>
      <w:jc w:val="center"/>
      <w:rPr>
        <w:rFonts w:ascii="Arial" w:hAnsi="Arial" w:cs="Arial"/>
        <w:sz w:val="20"/>
        <w:szCs w:val="20"/>
      </w:rPr>
    </w:pPr>
    <w:r w:rsidRPr="4E5DF420">
      <w:rPr>
        <w:rFonts w:ascii="Arial" w:hAnsi="Arial" w:cs="Arial"/>
        <w:sz w:val="20"/>
        <w:szCs w:val="20"/>
      </w:rPr>
      <w:t xml:space="preserve">Hoja </w:t>
    </w:r>
    <w:r w:rsidRPr="4E5DF420">
      <w:rPr>
        <w:rStyle w:val="PageNumber"/>
        <w:rFonts w:ascii="Arial" w:hAnsi="Arial" w:cs="Arial"/>
        <w:noProof/>
        <w:sz w:val="20"/>
        <w:szCs w:val="20"/>
      </w:rPr>
      <w:fldChar w:fldCharType="begin"/>
    </w:r>
    <w:r w:rsidRPr="4E5DF420">
      <w:rPr>
        <w:rStyle w:val="PageNumber"/>
        <w:rFonts w:ascii="Arial" w:hAnsi="Arial" w:cs="Arial"/>
        <w:noProof/>
        <w:sz w:val="20"/>
        <w:szCs w:val="20"/>
      </w:rPr>
      <w:instrText xml:space="preserve"> PAGE </w:instrText>
    </w:r>
    <w:r w:rsidRPr="4E5DF420">
      <w:rPr>
        <w:rStyle w:val="PageNumber"/>
        <w:rFonts w:ascii="Arial" w:hAnsi="Arial" w:cs="Arial"/>
        <w:noProof/>
        <w:sz w:val="20"/>
        <w:szCs w:val="20"/>
      </w:rPr>
      <w:fldChar w:fldCharType="separate"/>
    </w:r>
    <w:r>
      <w:rPr>
        <w:rStyle w:val="PageNumber"/>
        <w:rFonts w:ascii="Arial" w:hAnsi="Arial" w:cs="Arial"/>
        <w:noProof/>
        <w:sz w:val="20"/>
        <w:szCs w:val="20"/>
      </w:rPr>
      <w:t>4</w:t>
    </w:r>
    <w:r w:rsidRPr="4E5DF420">
      <w:rPr>
        <w:rStyle w:val="PageNumber"/>
        <w:rFonts w:ascii="Arial" w:hAnsi="Arial" w:cs="Arial"/>
        <w:noProof/>
        <w:sz w:val="20"/>
        <w:szCs w:val="20"/>
      </w:rPr>
      <w:fldChar w:fldCharType="end"/>
    </w:r>
    <w:r w:rsidRPr="4E5DF420">
      <w:rPr>
        <w:rFonts w:ascii="Arial" w:hAnsi="Arial" w:cs="Arial"/>
        <w:sz w:val="20"/>
        <w:szCs w:val="20"/>
      </w:rPr>
      <w:t xml:space="preserve"> de </w:t>
    </w:r>
    <w:r w:rsidRPr="4E5DF420">
      <w:rPr>
        <w:rStyle w:val="PageNumber"/>
        <w:rFonts w:ascii="Arial" w:hAnsi="Arial" w:cs="Arial"/>
        <w:noProof/>
        <w:sz w:val="20"/>
        <w:szCs w:val="20"/>
      </w:rPr>
      <w:fldChar w:fldCharType="begin"/>
    </w:r>
    <w:r w:rsidRPr="4E5DF420">
      <w:rPr>
        <w:rStyle w:val="PageNumber"/>
        <w:rFonts w:ascii="Arial" w:hAnsi="Arial" w:cs="Arial"/>
        <w:noProof/>
        <w:sz w:val="20"/>
        <w:szCs w:val="20"/>
      </w:rPr>
      <w:instrText xml:space="preserve"> NUMPAGES </w:instrText>
    </w:r>
    <w:r w:rsidRPr="4E5DF420">
      <w:rPr>
        <w:rStyle w:val="PageNumber"/>
        <w:rFonts w:ascii="Arial" w:hAnsi="Arial" w:cs="Arial"/>
        <w:noProof/>
        <w:sz w:val="20"/>
        <w:szCs w:val="20"/>
      </w:rPr>
      <w:fldChar w:fldCharType="separate"/>
    </w:r>
    <w:r>
      <w:rPr>
        <w:rStyle w:val="PageNumber"/>
        <w:rFonts w:ascii="Arial" w:hAnsi="Arial" w:cs="Arial"/>
        <w:noProof/>
        <w:sz w:val="20"/>
        <w:szCs w:val="20"/>
      </w:rPr>
      <w:t>4</w:t>
    </w:r>
    <w:r w:rsidRPr="4E5DF420">
      <w:rPr>
        <w:rStyle w:val="PageNumbe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625" w:rsidRDefault="00FA3625">
      <w:r>
        <w:separator/>
      </w:r>
    </w:p>
  </w:footnote>
  <w:footnote w:type="continuationSeparator" w:id="0">
    <w:p w:rsidR="00FA3625" w:rsidRDefault="00FA3625">
      <w:r>
        <w:continuationSeparator/>
      </w:r>
    </w:p>
  </w:footnote>
  <w:footnote w:id="1">
    <w:p w:rsidR="00FA3625" w:rsidRDefault="00FA3625" w:rsidP="4E5DF420">
      <w:pPr>
        <w:pStyle w:val="FootnoteText"/>
      </w:pPr>
      <w:r w:rsidRPr="4E5DF420">
        <w:rPr>
          <w:rStyle w:val="FootnoteReference"/>
          <w:rFonts w:ascii="Arial" w:hAnsi="Arial" w:cs="Arial"/>
        </w:rPr>
        <w:footnoteRef/>
      </w:r>
      <w:r w:rsidRPr="4E5DF420">
        <w:rPr>
          <w:rFonts w:ascii="Arial" w:hAnsi="Arial" w:cs="Arial"/>
        </w:rPr>
        <w:t xml:space="preserve"> La cifra decimal es consecuencia del promedio de unidades en servicio en más de una vuelta consecutiva.</w:t>
      </w:r>
    </w:p>
  </w:footnote>
  <w:footnote w:id="2">
    <w:p w:rsidR="00FA3625" w:rsidRDefault="00FA3625" w:rsidP="4E5DF420">
      <w:pPr>
        <w:pStyle w:val="FootnoteText"/>
      </w:pPr>
      <w:r w:rsidRPr="4E5DF420">
        <w:rPr>
          <w:rStyle w:val="FootnoteReference"/>
          <w:rFonts w:ascii="Arial" w:hAnsi="Arial" w:cs="Arial"/>
        </w:rPr>
        <w:footnoteRef/>
      </w:r>
      <w:r w:rsidRPr="4E5DF420">
        <w:rPr>
          <w:rFonts w:ascii="Arial" w:hAnsi="Arial" w:cs="Arial"/>
        </w:rPr>
        <w:t xml:space="preserve"> M</w:t>
      </w:r>
      <w:hyperlink r:id="rId1" w:tooltip="Medidas de dispersión" w:history="1">
        <w:r w:rsidRPr="4E5DF420">
          <w:rPr>
            <w:rFonts w:ascii="Arial" w:hAnsi="Arial" w:cs="Arial"/>
          </w:rPr>
          <w:t>edida</w:t>
        </w:r>
      </w:hyperlink>
      <w:r w:rsidRPr="4E5DF420">
        <w:rPr>
          <w:rFonts w:ascii="Arial" w:hAnsi="Arial" w:cs="Arial"/>
        </w:rPr>
        <w:t xml:space="preserve"> del grado de dispersión de los datos con respecto al valor promedio. Puede ser interpretada como una medida de </w:t>
      </w:r>
      <w:hyperlink r:id="rId2" w:tooltip="Incertidumbre (metrología)" w:history="1">
        <w:r w:rsidRPr="4E5DF420">
          <w:rPr>
            <w:rFonts w:ascii="Arial" w:hAnsi="Arial" w:cs="Arial"/>
          </w:rPr>
          <w:t>incertidumbre</w:t>
        </w:r>
      </w:hyperlink>
      <w:r w:rsidRPr="4E5DF420">
        <w:rPr>
          <w:rFonts w:ascii="Arial" w:hAnsi="Arial" w:cs="Arial"/>
        </w:rPr>
        <w:t xml:space="preserve"> y representa la </w:t>
      </w:r>
      <w:hyperlink r:id="rId3" w:tooltip="Precisión" w:history="1">
        <w:r w:rsidRPr="4E5DF420">
          <w:rPr>
            <w:rFonts w:ascii="Arial" w:hAnsi="Arial" w:cs="Arial"/>
          </w:rPr>
          <w:t>precisión</w:t>
        </w:r>
      </w:hyperlink>
      <w:r w:rsidRPr="4E5DF420">
        <w:rPr>
          <w:rFonts w:ascii="Arial" w:hAnsi="Arial" w:cs="Arial"/>
        </w:rPr>
        <w:t> de éstas.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625" w:rsidRPr="00893162" w:rsidRDefault="00FA3625" w:rsidP="4E5DF420">
    <w:pPr>
      <w:rPr>
        <w:rFonts w:ascii="Arial" w:hAnsi="Arial" w:cs="Arial"/>
        <w:b/>
        <w:bCs/>
        <w:sz w:val="32"/>
        <w:szCs w:val="32"/>
      </w:rPr>
    </w:pPr>
    <w:r w:rsidRPr="4E5DF420">
      <w:rPr>
        <w:rFonts w:ascii="Arial" w:hAnsi="Arial" w:cs="Arial"/>
        <w:b/>
        <w:bCs/>
        <w:sz w:val="32"/>
        <w:szCs w:val="32"/>
      </w:rPr>
      <w:t>OBSERVATORIO SOCIAL DEL TRANSPORTE</w:t>
    </w:r>
  </w:p>
  <w:p w:rsidR="00FA3625" w:rsidRPr="006A2B88" w:rsidRDefault="00FA3625" w:rsidP="008B4CC7">
    <w:pPr>
      <w:rPr>
        <w:rFonts w:ascii="Arial" w:hAnsi="Arial" w:cs="Arial"/>
        <w:sz w:val="16"/>
        <w:szCs w:val="16"/>
      </w:rPr>
    </w:pPr>
  </w:p>
  <w:p w:rsidR="00FA3625" w:rsidRPr="006A2B88" w:rsidRDefault="00FA3625" w:rsidP="4E5DF420">
    <w:pPr>
      <w:rPr>
        <w:rFonts w:ascii="Arial" w:hAnsi="Arial" w:cs="Arial"/>
        <w:b/>
        <w:bCs/>
      </w:rPr>
    </w:pPr>
    <w:r w:rsidRPr="4E5DF420">
      <w:rPr>
        <w:rFonts w:ascii="Arial" w:hAnsi="Arial" w:cs="Arial"/>
        <w:b/>
        <w:bCs/>
      </w:rPr>
      <w:t xml:space="preserve">RELEVAMIENTO DE FRECUENCIAS Y OTROS PARÁMETROS DEL TRANSPORTE URBANO DE PASAJEROS DE </w:t>
    </w:r>
    <w:smartTag w:uri="urn:schemas-microsoft-com:office:smarttags" w:element="PersonName">
      <w:smartTagPr>
        <w:attr w:name="ProductID" w:val="LA CIUDAD DE"/>
      </w:smartTagPr>
      <w:r w:rsidRPr="4E5DF420">
        <w:rPr>
          <w:rFonts w:ascii="Arial" w:hAnsi="Arial" w:cs="Arial"/>
          <w:b/>
          <w:bCs/>
        </w:rPr>
        <w:t>LA CIUDAD DE</w:t>
      </w:r>
    </w:smartTag>
    <w:r w:rsidRPr="4E5DF420">
      <w:rPr>
        <w:rFonts w:ascii="Arial" w:hAnsi="Arial" w:cs="Arial"/>
        <w:b/>
        <w:bCs/>
      </w:rPr>
      <w:t xml:space="preserve"> ROSARIO, </w:t>
    </w:r>
  </w:p>
  <w:p w:rsidR="00FA3625" w:rsidRPr="006A2B88" w:rsidRDefault="00FA3625" w:rsidP="4E5DF420">
    <w:pPr>
      <w:rPr>
        <w:rFonts w:ascii="Arial" w:hAnsi="Arial" w:cs="Arial"/>
        <w:b/>
        <w:bCs/>
      </w:rPr>
    </w:pPr>
    <w:r w:rsidRPr="4E5DF420">
      <w:rPr>
        <w:rFonts w:ascii="Arial" w:hAnsi="Arial" w:cs="Arial"/>
        <w:b/>
        <w:bCs/>
      </w:rPr>
      <w:t>REALIZADO EL DÍA 28 DE JULIO DE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919"/>
    <w:rsid w:val="00004B48"/>
    <w:rsid w:val="00011EA4"/>
    <w:rsid w:val="00013165"/>
    <w:rsid w:val="00016521"/>
    <w:rsid w:val="000306BC"/>
    <w:rsid w:val="00036BA4"/>
    <w:rsid w:val="00036E1D"/>
    <w:rsid w:val="00042457"/>
    <w:rsid w:val="00043CB0"/>
    <w:rsid w:val="000525C2"/>
    <w:rsid w:val="00056F10"/>
    <w:rsid w:val="000630E7"/>
    <w:rsid w:val="00064FB1"/>
    <w:rsid w:val="00066087"/>
    <w:rsid w:val="00077D6E"/>
    <w:rsid w:val="00082C1C"/>
    <w:rsid w:val="000865FB"/>
    <w:rsid w:val="00094E7D"/>
    <w:rsid w:val="000C2C36"/>
    <w:rsid w:val="000D0D51"/>
    <w:rsid w:val="000D3375"/>
    <w:rsid w:val="000D62AD"/>
    <w:rsid w:val="000E0AD0"/>
    <w:rsid w:val="000E6AD4"/>
    <w:rsid w:val="00103EAC"/>
    <w:rsid w:val="001177A1"/>
    <w:rsid w:val="0013251C"/>
    <w:rsid w:val="00132E97"/>
    <w:rsid w:val="001515F6"/>
    <w:rsid w:val="00151CE1"/>
    <w:rsid w:val="00160ED7"/>
    <w:rsid w:val="0016382F"/>
    <w:rsid w:val="00167BDA"/>
    <w:rsid w:val="00174C6B"/>
    <w:rsid w:val="001843F7"/>
    <w:rsid w:val="00194F7A"/>
    <w:rsid w:val="001A0133"/>
    <w:rsid w:val="001A5710"/>
    <w:rsid w:val="001B6AF8"/>
    <w:rsid w:val="001C18A6"/>
    <w:rsid w:val="001C6433"/>
    <w:rsid w:val="001C7FE1"/>
    <w:rsid w:val="001E1AC1"/>
    <w:rsid w:val="001F1BB3"/>
    <w:rsid w:val="001F680D"/>
    <w:rsid w:val="00201424"/>
    <w:rsid w:val="0021114E"/>
    <w:rsid w:val="00212D6A"/>
    <w:rsid w:val="002161F1"/>
    <w:rsid w:val="00220607"/>
    <w:rsid w:val="00226E98"/>
    <w:rsid w:val="0023274B"/>
    <w:rsid w:val="00232DAA"/>
    <w:rsid w:val="0023488B"/>
    <w:rsid w:val="00283297"/>
    <w:rsid w:val="00295725"/>
    <w:rsid w:val="002B36F6"/>
    <w:rsid w:val="002C0700"/>
    <w:rsid w:val="002E05D6"/>
    <w:rsid w:val="002E45F9"/>
    <w:rsid w:val="002E4A4A"/>
    <w:rsid w:val="002F1060"/>
    <w:rsid w:val="002F417B"/>
    <w:rsid w:val="002F697F"/>
    <w:rsid w:val="0030264E"/>
    <w:rsid w:val="00304877"/>
    <w:rsid w:val="003068FD"/>
    <w:rsid w:val="00306B6F"/>
    <w:rsid w:val="003102CC"/>
    <w:rsid w:val="003109F4"/>
    <w:rsid w:val="0032013F"/>
    <w:rsid w:val="003320CF"/>
    <w:rsid w:val="00343565"/>
    <w:rsid w:val="00363532"/>
    <w:rsid w:val="003663E1"/>
    <w:rsid w:val="00373C2B"/>
    <w:rsid w:val="00374FB9"/>
    <w:rsid w:val="00376B43"/>
    <w:rsid w:val="003844FF"/>
    <w:rsid w:val="003A7CAD"/>
    <w:rsid w:val="003E0528"/>
    <w:rsid w:val="00406583"/>
    <w:rsid w:val="00410EF2"/>
    <w:rsid w:val="00412034"/>
    <w:rsid w:val="00412C29"/>
    <w:rsid w:val="00412E9D"/>
    <w:rsid w:val="00414D2D"/>
    <w:rsid w:val="00417F6F"/>
    <w:rsid w:val="0042468C"/>
    <w:rsid w:val="00430432"/>
    <w:rsid w:val="00430479"/>
    <w:rsid w:val="00431C1A"/>
    <w:rsid w:val="00432DB2"/>
    <w:rsid w:val="00443CD8"/>
    <w:rsid w:val="0044446E"/>
    <w:rsid w:val="0045219D"/>
    <w:rsid w:val="00456DAB"/>
    <w:rsid w:val="00490EF6"/>
    <w:rsid w:val="0049634F"/>
    <w:rsid w:val="004A2F79"/>
    <w:rsid w:val="004B48B6"/>
    <w:rsid w:val="004B63A2"/>
    <w:rsid w:val="004C0CF0"/>
    <w:rsid w:val="004C107F"/>
    <w:rsid w:val="004C4E8D"/>
    <w:rsid w:val="004C68ED"/>
    <w:rsid w:val="004D1E08"/>
    <w:rsid w:val="004D297F"/>
    <w:rsid w:val="004D78A9"/>
    <w:rsid w:val="004E1F02"/>
    <w:rsid w:val="004E42DF"/>
    <w:rsid w:val="004F2495"/>
    <w:rsid w:val="004F267D"/>
    <w:rsid w:val="004F5981"/>
    <w:rsid w:val="00500B7B"/>
    <w:rsid w:val="005034A1"/>
    <w:rsid w:val="00505B76"/>
    <w:rsid w:val="00564069"/>
    <w:rsid w:val="00564CB8"/>
    <w:rsid w:val="00582977"/>
    <w:rsid w:val="00585794"/>
    <w:rsid w:val="00590CEC"/>
    <w:rsid w:val="00591F36"/>
    <w:rsid w:val="005929BC"/>
    <w:rsid w:val="005A0CC7"/>
    <w:rsid w:val="005A5802"/>
    <w:rsid w:val="005A6E41"/>
    <w:rsid w:val="005A7BAA"/>
    <w:rsid w:val="005B6DFD"/>
    <w:rsid w:val="005C3B46"/>
    <w:rsid w:val="005D2853"/>
    <w:rsid w:val="005D5CC1"/>
    <w:rsid w:val="005D6C74"/>
    <w:rsid w:val="005E7707"/>
    <w:rsid w:val="005F3174"/>
    <w:rsid w:val="00616969"/>
    <w:rsid w:val="00617A1C"/>
    <w:rsid w:val="00620AC3"/>
    <w:rsid w:val="00641C19"/>
    <w:rsid w:val="0065170C"/>
    <w:rsid w:val="0065489B"/>
    <w:rsid w:val="006575FF"/>
    <w:rsid w:val="00677661"/>
    <w:rsid w:val="006803C3"/>
    <w:rsid w:val="006814BE"/>
    <w:rsid w:val="006816D4"/>
    <w:rsid w:val="00682B12"/>
    <w:rsid w:val="006837B4"/>
    <w:rsid w:val="006841A7"/>
    <w:rsid w:val="00692B85"/>
    <w:rsid w:val="006A2B88"/>
    <w:rsid w:val="006C2021"/>
    <w:rsid w:val="006C644C"/>
    <w:rsid w:val="006C7C99"/>
    <w:rsid w:val="006D0B68"/>
    <w:rsid w:val="006F1AC1"/>
    <w:rsid w:val="006F482A"/>
    <w:rsid w:val="00701B3A"/>
    <w:rsid w:val="007058AB"/>
    <w:rsid w:val="007202D7"/>
    <w:rsid w:val="007232F5"/>
    <w:rsid w:val="00727720"/>
    <w:rsid w:val="00734E0D"/>
    <w:rsid w:val="007435CF"/>
    <w:rsid w:val="00750C03"/>
    <w:rsid w:val="00750DF1"/>
    <w:rsid w:val="0075226F"/>
    <w:rsid w:val="007608DF"/>
    <w:rsid w:val="0079263D"/>
    <w:rsid w:val="00792E55"/>
    <w:rsid w:val="00795620"/>
    <w:rsid w:val="00796A10"/>
    <w:rsid w:val="00796DB1"/>
    <w:rsid w:val="007A29F8"/>
    <w:rsid w:val="007A3D9E"/>
    <w:rsid w:val="007B44A6"/>
    <w:rsid w:val="007D4506"/>
    <w:rsid w:val="007F4287"/>
    <w:rsid w:val="007F586F"/>
    <w:rsid w:val="0080473D"/>
    <w:rsid w:val="00805736"/>
    <w:rsid w:val="008072D6"/>
    <w:rsid w:val="00814350"/>
    <w:rsid w:val="00822FF5"/>
    <w:rsid w:val="008239B9"/>
    <w:rsid w:val="008563DE"/>
    <w:rsid w:val="00866893"/>
    <w:rsid w:val="00874A11"/>
    <w:rsid w:val="00875E52"/>
    <w:rsid w:val="0087623A"/>
    <w:rsid w:val="00880F31"/>
    <w:rsid w:val="00893162"/>
    <w:rsid w:val="0089391B"/>
    <w:rsid w:val="008A6B6A"/>
    <w:rsid w:val="008A6FE8"/>
    <w:rsid w:val="008B3E49"/>
    <w:rsid w:val="008B4CC7"/>
    <w:rsid w:val="008B5556"/>
    <w:rsid w:val="008B5FA6"/>
    <w:rsid w:val="008C352B"/>
    <w:rsid w:val="008E1A81"/>
    <w:rsid w:val="008F4AA0"/>
    <w:rsid w:val="008F51EA"/>
    <w:rsid w:val="0090232E"/>
    <w:rsid w:val="009150C7"/>
    <w:rsid w:val="00917B99"/>
    <w:rsid w:val="00930D2F"/>
    <w:rsid w:val="00931FE6"/>
    <w:rsid w:val="009351DC"/>
    <w:rsid w:val="009376B9"/>
    <w:rsid w:val="00937861"/>
    <w:rsid w:val="0094054A"/>
    <w:rsid w:val="00946BAD"/>
    <w:rsid w:val="00954617"/>
    <w:rsid w:val="00956EDE"/>
    <w:rsid w:val="009750B2"/>
    <w:rsid w:val="0097664A"/>
    <w:rsid w:val="0098426E"/>
    <w:rsid w:val="009845D5"/>
    <w:rsid w:val="0098654C"/>
    <w:rsid w:val="00995B56"/>
    <w:rsid w:val="009B581B"/>
    <w:rsid w:val="009B5CF5"/>
    <w:rsid w:val="009B7F75"/>
    <w:rsid w:val="009D0000"/>
    <w:rsid w:val="009D0308"/>
    <w:rsid w:val="009D3674"/>
    <w:rsid w:val="009D3C54"/>
    <w:rsid w:val="009D5572"/>
    <w:rsid w:val="009E237E"/>
    <w:rsid w:val="009F1FDB"/>
    <w:rsid w:val="00A139CC"/>
    <w:rsid w:val="00A141C3"/>
    <w:rsid w:val="00A14ED9"/>
    <w:rsid w:val="00A26110"/>
    <w:rsid w:val="00A33953"/>
    <w:rsid w:val="00A369E5"/>
    <w:rsid w:val="00A5549E"/>
    <w:rsid w:val="00A55672"/>
    <w:rsid w:val="00A570C8"/>
    <w:rsid w:val="00A81C30"/>
    <w:rsid w:val="00A8434C"/>
    <w:rsid w:val="00AA19AA"/>
    <w:rsid w:val="00AA2811"/>
    <w:rsid w:val="00AA4D0D"/>
    <w:rsid w:val="00AA7C61"/>
    <w:rsid w:val="00AC7DBB"/>
    <w:rsid w:val="00AE0DDD"/>
    <w:rsid w:val="00AE51E0"/>
    <w:rsid w:val="00B042AC"/>
    <w:rsid w:val="00B05DE1"/>
    <w:rsid w:val="00B14EF4"/>
    <w:rsid w:val="00B1704E"/>
    <w:rsid w:val="00B231C8"/>
    <w:rsid w:val="00B244E9"/>
    <w:rsid w:val="00B260F1"/>
    <w:rsid w:val="00B31A9C"/>
    <w:rsid w:val="00B36878"/>
    <w:rsid w:val="00B73C40"/>
    <w:rsid w:val="00B841A7"/>
    <w:rsid w:val="00B94DD4"/>
    <w:rsid w:val="00B96003"/>
    <w:rsid w:val="00B976E3"/>
    <w:rsid w:val="00BB0B19"/>
    <w:rsid w:val="00BB54F6"/>
    <w:rsid w:val="00BD5AAC"/>
    <w:rsid w:val="00BD6617"/>
    <w:rsid w:val="00BE1BBB"/>
    <w:rsid w:val="00BE397D"/>
    <w:rsid w:val="00C20D4C"/>
    <w:rsid w:val="00C20DE9"/>
    <w:rsid w:val="00C20E79"/>
    <w:rsid w:val="00C24BAF"/>
    <w:rsid w:val="00C27E59"/>
    <w:rsid w:val="00C35B41"/>
    <w:rsid w:val="00C53E12"/>
    <w:rsid w:val="00C61CD7"/>
    <w:rsid w:val="00C8325D"/>
    <w:rsid w:val="00C8606B"/>
    <w:rsid w:val="00C86B4F"/>
    <w:rsid w:val="00C91814"/>
    <w:rsid w:val="00C9437D"/>
    <w:rsid w:val="00CA33FE"/>
    <w:rsid w:val="00CA40BE"/>
    <w:rsid w:val="00CA73E9"/>
    <w:rsid w:val="00CB1616"/>
    <w:rsid w:val="00CB301D"/>
    <w:rsid w:val="00CB710A"/>
    <w:rsid w:val="00CC056D"/>
    <w:rsid w:val="00CC6DAB"/>
    <w:rsid w:val="00CC6E11"/>
    <w:rsid w:val="00CD3C38"/>
    <w:rsid w:val="00CD75A5"/>
    <w:rsid w:val="00CE02BC"/>
    <w:rsid w:val="00CE7517"/>
    <w:rsid w:val="00CF35F0"/>
    <w:rsid w:val="00D00730"/>
    <w:rsid w:val="00D14229"/>
    <w:rsid w:val="00D20924"/>
    <w:rsid w:val="00D36DCE"/>
    <w:rsid w:val="00D3751A"/>
    <w:rsid w:val="00D53064"/>
    <w:rsid w:val="00D562C0"/>
    <w:rsid w:val="00D76C8F"/>
    <w:rsid w:val="00D805BC"/>
    <w:rsid w:val="00D92FC2"/>
    <w:rsid w:val="00D9509B"/>
    <w:rsid w:val="00DA6C94"/>
    <w:rsid w:val="00DB6E2B"/>
    <w:rsid w:val="00DC67A1"/>
    <w:rsid w:val="00DE75A4"/>
    <w:rsid w:val="00E0130C"/>
    <w:rsid w:val="00E20ECE"/>
    <w:rsid w:val="00E23591"/>
    <w:rsid w:val="00E41FF0"/>
    <w:rsid w:val="00E57FA4"/>
    <w:rsid w:val="00E609F1"/>
    <w:rsid w:val="00E90629"/>
    <w:rsid w:val="00E94929"/>
    <w:rsid w:val="00E95919"/>
    <w:rsid w:val="00EB09FE"/>
    <w:rsid w:val="00EB6116"/>
    <w:rsid w:val="00EB76A8"/>
    <w:rsid w:val="00EC0ECC"/>
    <w:rsid w:val="00EC3D9F"/>
    <w:rsid w:val="00ED1E6F"/>
    <w:rsid w:val="00ED52A0"/>
    <w:rsid w:val="00EE042A"/>
    <w:rsid w:val="00EE06C8"/>
    <w:rsid w:val="00EE1A77"/>
    <w:rsid w:val="00EF4D99"/>
    <w:rsid w:val="00EF505D"/>
    <w:rsid w:val="00F06268"/>
    <w:rsid w:val="00F07C9C"/>
    <w:rsid w:val="00F17003"/>
    <w:rsid w:val="00F27B25"/>
    <w:rsid w:val="00F34322"/>
    <w:rsid w:val="00F34741"/>
    <w:rsid w:val="00F363E2"/>
    <w:rsid w:val="00F37E5D"/>
    <w:rsid w:val="00F40C61"/>
    <w:rsid w:val="00F431AB"/>
    <w:rsid w:val="00F5105D"/>
    <w:rsid w:val="00F55CE2"/>
    <w:rsid w:val="00F64B4C"/>
    <w:rsid w:val="00F64C52"/>
    <w:rsid w:val="00F66BC6"/>
    <w:rsid w:val="00F73AD4"/>
    <w:rsid w:val="00F76983"/>
    <w:rsid w:val="00F80384"/>
    <w:rsid w:val="00F81D1D"/>
    <w:rsid w:val="00F87790"/>
    <w:rsid w:val="00F91168"/>
    <w:rsid w:val="00F93B51"/>
    <w:rsid w:val="00F94C3E"/>
    <w:rsid w:val="00FA3625"/>
    <w:rsid w:val="00FB584D"/>
    <w:rsid w:val="00FC0032"/>
    <w:rsid w:val="00FD50FA"/>
    <w:rsid w:val="00FE341C"/>
    <w:rsid w:val="00FF38BA"/>
    <w:rsid w:val="00FF4E6B"/>
    <w:rsid w:val="00FF501A"/>
    <w:rsid w:val="00FF75FA"/>
    <w:rsid w:val="4E5DF42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6521"/>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35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430479"/>
    <w:rPr>
      <w:rFonts w:cs="Times New Roman"/>
      <w:i/>
      <w:iCs/>
    </w:rPr>
  </w:style>
  <w:style w:type="paragraph" w:styleId="Header">
    <w:name w:val="header"/>
    <w:basedOn w:val="Normal"/>
    <w:link w:val="HeaderChar"/>
    <w:uiPriority w:val="99"/>
    <w:rsid w:val="008B4CC7"/>
    <w:pPr>
      <w:tabs>
        <w:tab w:val="center" w:pos="4252"/>
        <w:tab w:val="right" w:pos="8504"/>
      </w:tabs>
    </w:pPr>
  </w:style>
  <w:style w:type="character" w:customStyle="1" w:styleId="HeaderChar">
    <w:name w:val="Header Char"/>
    <w:basedOn w:val="DefaultParagraphFont"/>
    <w:link w:val="Header"/>
    <w:uiPriority w:val="99"/>
    <w:semiHidden/>
    <w:locked/>
    <w:rPr>
      <w:rFonts w:cs="Times New Roman"/>
      <w:sz w:val="24"/>
      <w:szCs w:val="24"/>
      <w:lang w:val="es-ES" w:eastAsia="es-ES"/>
    </w:rPr>
  </w:style>
  <w:style w:type="paragraph" w:styleId="Footer">
    <w:name w:val="footer"/>
    <w:basedOn w:val="Normal"/>
    <w:link w:val="FooterChar"/>
    <w:uiPriority w:val="99"/>
    <w:rsid w:val="008B4CC7"/>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4"/>
      <w:szCs w:val="24"/>
      <w:lang w:val="es-ES" w:eastAsia="es-ES"/>
    </w:rPr>
  </w:style>
  <w:style w:type="character" w:styleId="PageNumber">
    <w:name w:val="page number"/>
    <w:basedOn w:val="DefaultParagraphFont"/>
    <w:uiPriority w:val="99"/>
    <w:rsid w:val="007A29F8"/>
    <w:rPr>
      <w:rFonts w:cs="Times New Roman"/>
    </w:rPr>
  </w:style>
  <w:style w:type="paragraph" w:styleId="FootnoteText">
    <w:name w:val="footnote text"/>
    <w:basedOn w:val="Normal"/>
    <w:link w:val="FootnoteTextChar"/>
    <w:uiPriority w:val="99"/>
    <w:semiHidden/>
    <w:rsid w:val="002E05D6"/>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es-ES" w:eastAsia="es-ES"/>
    </w:rPr>
  </w:style>
  <w:style w:type="character" w:styleId="FootnoteReference">
    <w:name w:val="footnote reference"/>
    <w:basedOn w:val="DefaultParagraphFont"/>
    <w:uiPriority w:val="99"/>
    <w:semiHidden/>
    <w:rsid w:val="002E05D6"/>
    <w:rPr>
      <w:rFonts w:cs="Times New Roman"/>
      <w:vertAlign w:val="superscript"/>
    </w:rPr>
  </w:style>
  <w:style w:type="character" w:customStyle="1" w:styleId="apple-converted-space">
    <w:name w:val="apple-converted-space"/>
    <w:basedOn w:val="DefaultParagraphFont"/>
    <w:uiPriority w:val="99"/>
    <w:rsid w:val="00E90629"/>
    <w:rPr>
      <w:rFonts w:cs="Times New Roman"/>
    </w:rPr>
  </w:style>
  <w:style w:type="character" w:styleId="Hyperlink">
    <w:name w:val="Hyperlink"/>
    <w:basedOn w:val="DefaultParagraphFont"/>
    <w:uiPriority w:val="99"/>
    <w:rsid w:val="00E90629"/>
    <w:rPr>
      <w:rFonts w:cs="Times New Roman"/>
      <w:color w:val="0000FF"/>
      <w:u w:val="single"/>
    </w:rPr>
  </w:style>
  <w:style w:type="character" w:styleId="FollowedHyperlink">
    <w:name w:val="FollowedHyperlink"/>
    <w:basedOn w:val="DefaultParagraphFont"/>
    <w:uiPriority w:val="99"/>
    <w:rsid w:val="0004245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apital.com.ar/la-municipalidad-dice-que-casi-el-60-por-ciento-los-colectivos-cuenta-aire-n49925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Precisi%C3%B3n" TargetMode="External"/><Relationship Id="rId2" Type="http://schemas.openxmlformats.org/officeDocument/2006/relationships/hyperlink" Target="https://es.wikipedia.org/wiki/Incertidumbre_(metrolog%C3%ADa)" TargetMode="External"/><Relationship Id="rId1" Type="http://schemas.openxmlformats.org/officeDocument/2006/relationships/hyperlink" Target="https://es.wikipedia.org/wiki/Medidas_de_dispersi%C3%B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2058</Words>
  <Characters>11325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ROSARIO Y LOS TROLEBUSES</dc:title>
  <dc:subject/>
  <dc:creator>CARLOS</dc:creator>
  <cp:keywords/>
  <dc:description/>
  <cp:lastModifiedBy>Marina</cp:lastModifiedBy>
  <cp:revision>4</cp:revision>
  <cp:lastPrinted>2016-08-01T12:43:00Z</cp:lastPrinted>
  <dcterms:created xsi:type="dcterms:W3CDTF">2016-08-14T14:15:00Z</dcterms:created>
  <dcterms:modified xsi:type="dcterms:W3CDTF">2016-08-15T20:26:00Z</dcterms:modified>
</cp:coreProperties>
</file>