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F43" w:rsidRDefault="005F31C0" w:rsidP="00F05F43">
      <w:pPr>
        <w:spacing w:after="240"/>
        <w:jc w:val="center"/>
        <w:rPr>
          <w:rFonts w:ascii="Arial" w:eastAsia="Arial" w:hAnsi="Arial" w:cs="Arial"/>
          <w:sz w:val="40"/>
          <w:szCs w:val="40"/>
        </w:rPr>
      </w:pPr>
      <w:r>
        <w:rPr>
          <w:rFonts w:ascii="Arial" w:eastAsia="Arial" w:hAnsi="Arial" w:cs="Arial"/>
          <w:b/>
          <w:i/>
          <w:sz w:val="40"/>
          <w:szCs w:val="40"/>
        </w:rPr>
        <w:t xml:space="preserve">Histórica caída del TUP (antes del Covid-19) </w:t>
      </w:r>
    </w:p>
    <w:p w:rsidR="00245E41" w:rsidRPr="00F05F43" w:rsidRDefault="00F05F43" w:rsidP="00F05F43">
      <w:pPr>
        <w:spacing w:after="240"/>
        <w:jc w:val="both"/>
        <w:rPr>
          <w:rFonts w:ascii="Arial" w:eastAsia="Arial" w:hAnsi="Arial" w:cs="Arial"/>
          <w:sz w:val="40"/>
          <w:szCs w:val="40"/>
        </w:rPr>
      </w:pPr>
      <w:r>
        <w:rPr>
          <w:rFonts w:ascii="Arial" w:eastAsia="Arial" w:hAnsi="Arial" w:cs="Arial"/>
          <w:sz w:val="22"/>
          <w:szCs w:val="22"/>
        </w:rPr>
        <w:t xml:space="preserve">La </w:t>
      </w:r>
      <w:r w:rsidR="005F31C0">
        <w:rPr>
          <w:rFonts w:ascii="Arial" w:eastAsia="Arial" w:hAnsi="Arial" w:cs="Arial"/>
          <w:sz w:val="22"/>
          <w:szCs w:val="22"/>
        </w:rPr>
        <w:t>Secretaría de Movilidad elevó el 2</w:t>
      </w:r>
      <w:r>
        <w:rPr>
          <w:rFonts w:ascii="Arial" w:eastAsia="Arial" w:hAnsi="Arial" w:cs="Arial"/>
          <w:sz w:val="22"/>
          <w:szCs w:val="22"/>
        </w:rPr>
        <w:t>9 de junio al Concejo Municipal</w:t>
      </w:r>
      <w:r w:rsidR="005F31C0">
        <w:rPr>
          <w:rFonts w:ascii="Arial" w:eastAsia="Arial" w:hAnsi="Arial" w:cs="Arial"/>
          <w:sz w:val="22"/>
          <w:szCs w:val="22"/>
        </w:rPr>
        <w:t xml:space="preserve"> el estudio de costos del Transporte Urbano de Pasajeros (TUP) de la ciudad de Rosa</w:t>
      </w:r>
      <w:r>
        <w:rPr>
          <w:rFonts w:ascii="Arial" w:eastAsia="Arial" w:hAnsi="Arial" w:cs="Arial"/>
          <w:sz w:val="22"/>
          <w:szCs w:val="22"/>
        </w:rPr>
        <w:t>rio, correspondiente al mes de f</w:t>
      </w:r>
      <w:r w:rsidR="005F31C0">
        <w:rPr>
          <w:rFonts w:ascii="Arial" w:eastAsia="Arial" w:hAnsi="Arial" w:cs="Arial"/>
          <w:sz w:val="22"/>
          <w:szCs w:val="22"/>
        </w:rPr>
        <w:t>ebrero de 2020. Este es el primero que se re</w:t>
      </w:r>
      <w:r w:rsidR="005F31C0">
        <w:rPr>
          <w:rFonts w:ascii="Arial" w:eastAsia="Arial" w:hAnsi="Arial" w:cs="Arial"/>
          <w:sz w:val="22"/>
          <w:szCs w:val="22"/>
        </w:rPr>
        <w:t>cibe de la admin</w:t>
      </w:r>
      <w:r>
        <w:rPr>
          <w:rFonts w:ascii="Arial" w:eastAsia="Arial" w:hAnsi="Arial" w:cs="Arial"/>
          <w:sz w:val="22"/>
          <w:szCs w:val="22"/>
        </w:rPr>
        <w:t>istración municipal asumida en d</w:t>
      </w:r>
      <w:r w:rsidR="005F31C0">
        <w:rPr>
          <w:rFonts w:ascii="Arial" w:eastAsia="Arial" w:hAnsi="Arial" w:cs="Arial"/>
          <w:sz w:val="22"/>
          <w:szCs w:val="22"/>
        </w:rPr>
        <w:t>iciembre de 2019, y dado que el último enviado p</w:t>
      </w:r>
      <w:r>
        <w:rPr>
          <w:rFonts w:ascii="Arial" w:eastAsia="Arial" w:hAnsi="Arial" w:cs="Arial"/>
          <w:sz w:val="22"/>
          <w:szCs w:val="22"/>
        </w:rPr>
        <w:t>or la gestión anterior data de j</w:t>
      </w:r>
      <w:r w:rsidR="005F31C0">
        <w:rPr>
          <w:rFonts w:ascii="Arial" w:eastAsia="Arial" w:hAnsi="Arial" w:cs="Arial"/>
          <w:sz w:val="22"/>
          <w:szCs w:val="22"/>
        </w:rPr>
        <w:t xml:space="preserve">unio de 2019, transcurrieron </w:t>
      </w:r>
      <w:r w:rsidR="005F31C0">
        <w:rPr>
          <w:rFonts w:ascii="Arial" w:eastAsia="Arial" w:hAnsi="Arial" w:cs="Arial"/>
          <w:b/>
          <w:sz w:val="22"/>
          <w:szCs w:val="22"/>
          <w:u w:val="single"/>
        </w:rPr>
        <w:t>doce meses</w:t>
      </w:r>
      <w:r w:rsidR="005F31C0">
        <w:rPr>
          <w:rFonts w:ascii="Arial" w:eastAsia="Arial" w:hAnsi="Arial" w:cs="Arial"/>
          <w:sz w:val="22"/>
          <w:szCs w:val="22"/>
        </w:rPr>
        <w:t xml:space="preserve"> durante los cuales el Ente de la Movilidad no suministró datos sobre el desenvolvimiento</w:t>
      </w:r>
      <w:r w:rsidR="005F31C0">
        <w:rPr>
          <w:rFonts w:ascii="Arial" w:eastAsia="Arial" w:hAnsi="Arial" w:cs="Arial"/>
          <w:sz w:val="22"/>
          <w:szCs w:val="22"/>
        </w:rPr>
        <w:t xml:space="preserve"> de una de las actividades con más impacto ciudadano.</w:t>
      </w:r>
    </w:p>
    <w:p w:rsidR="00245E41" w:rsidRDefault="005F31C0" w:rsidP="00F05F43">
      <w:pPr>
        <w:spacing w:after="240"/>
        <w:jc w:val="both"/>
        <w:rPr>
          <w:rFonts w:ascii="Arial" w:eastAsia="Arial" w:hAnsi="Arial" w:cs="Arial"/>
          <w:sz w:val="22"/>
          <w:szCs w:val="22"/>
        </w:rPr>
      </w:pPr>
      <w:r>
        <w:rPr>
          <w:rFonts w:ascii="Arial" w:eastAsia="Arial" w:hAnsi="Arial" w:cs="Arial"/>
          <w:sz w:val="22"/>
          <w:szCs w:val="22"/>
        </w:rPr>
        <w:t xml:space="preserve">Las cifras que exhibe el Estudio son avasalladoras: </w:t>
      </w:r>
      <w:r>
        <w:rPr>
          <w:rFonts w:ascii="Arial" w:eastAsia="Arial" w:hAnsi="Arial" w:cs="Arial"/>
          <w:b/>
          <w:i/>
          <w:color w:val="800000"/>
          <w:sz w:val="22"/>
          <w:szCs w:val="22"/>
        </w:rPr>
        <w:t>2019 fue el peor año del TUP de las últimas cinco décadas</w:t>
      </w:r>
      <w:r>
        <w:rPr>
          <w:rFonts w:ascii="Arial" w:eastAsia="Arial" w:hAnsi="Arial" w:cs="Arial"/>
          <w:sz w:val="22"/>
          <w:szCs w:val="22"/>
        </w:rPr>
        <w:t xml:space="preserve">. Durante 2019 </w:t>
      </w:r>
      <w:r>
        <w:rPr>
          <w:rFonts w:ascii="Arial" w:eastAsia="Arial" w:hAnsi="Arial" w:cs="Arial"/>
          <w:b/>
          <w:color w:val="FF0000"/>
          <w:sz w:val="22"/>
          <w:szCs w:val="22"/>
        </w:rPr>
        <w:t>se registraron 96 millones de viajes pagos, una caída del 44% respecto de la m</w:t>
      </w:r>
      <w:r>
        <w:rPr>
          <w:rFonts w:ascii="Arial" w:eastAsia="Arial" w:hAnsi="Arial" w:cs="Arial"/>
          <w:b/>
          <w:color w:val="FF0000"/>
          <w:sz w:val="22"/>
          <w:szCs w:val="22"/>
        </w:rPr>
        <w:t>edia anual de 170 millones de viajes durante el lapso citado</w:t>
      </w:r>
      <w:r>
        <w:rPr>
          <w:rFonts w:ascii="Arial" w:eastAsia="Arial" w:hAnsi="Arial" w:cs="Arial"/>
          <w:sz w:val="22"/>
          <w:szCs w:val="22"/>
        </w:rPr>
        <w:t xml:space="preserve">; respecto del recorrido de las unidades, </w:t>
      </w:r>
      <w:r>
        <w:rPr>
          <w:rFonts w:ascii="Arial" w:eastAsia="Arial" w:hAnsi="Arial" w:cs="Arial"/>
          <w:b/>
          <w:color w:val="FF0000"/>
          <w:sz w:val="22"/>
          <w:szCs w:val="22"/>
        </w:rPr>
        <w:t>los 47 millones de kilómetros recorridos durante 2019 son inferiores en 25% a la media anual de 63 millones de kilómetros en el mismo período</w:t>
      </w:r>
      <w:r>
        <w:rPr>
          <w:rFonts w:ascii="Arial" w:eastAsia="Arial" w:hAnsi="Arial" w:cs="Arial"/>
          <w:sz w:val="22"/>
          <w:szCs w:val="22"/>
        </w:rPr>
        <w:t xml:space="preserve">. </w:t>
      </w:r>
      <w:r w:rsidRPr="00FE5D7B">
        <w:rPr>
          <w:rFonts w:ascii="Arial" w:eastAsia="Arial" w:hAnsi="Arial" w:cs="Arial"/>
          <w:b/>
          <w:i/>
          <w:color w:val="984806" w:themeColor="accent6" w:themeShade="80"/>
          <w:sz w:val="22"/>
          <w:szCs w:val="22"/>
        </w:rPr>
        <w:t>En ambos in</w:t>
      </w:r>
      <w:r w:rsidRPr="00FE5D7B">
        <w:rPr>
          <w:rFonts w:ascii="Arial" w:eastAsia="Arial" w:hAnsi="Arial" w:cs="Arial"/>
          <w:b/>
          <w:i/>
          <w:color w:val="984806" w:themeColor="accent6" w:themeShade="80"/>
          <w:sz w:val="22"/>
          <w:szCs w:val="22"/>
        </w:rPr>
        <w:t xml:space="preserve">dicadores, las cifras de 2019 son peores que las registradas en 2002 </w:t>
      </w:r>
      <w:r w:rsidR="00FE5D7B" w:rsidRPr="00FE5D7B">
        <w:rPr>
          <w:rFonts w:ascii="Arial" w:eastAsia="Arial" w:hAnsi="Arial" w:cs="Arial"/>
          <w:b/>
          <w:i/>
          <w:color w:val="984806" w:themeColor="accent6" w:themeShade="80"/>
          <w:sz w:val="22"/>
          <w:szCs w:val="22"/>
        </w:rPr>
        <w:t xml:space="preserve">(125 millones de viajes y </w:t>
      </w:r>
      <w:r w:rsidR="00FE5D7B" w:rsidRPr="00FE5D7B">
        <w:rPr>
          <w:rFonts w:ascii="Arial" w:eastAsia="Arial" w:hAnsi="Arial" w:cs="Arial"/>
          <w:b/>
          <w:i/>
          <w:color w:val="984806" w:themeColor="accent6" w:themeShade="80"/>
          <w:sz w:val="22"/>
          <w:szCs w:val="22"/>
        </w:rPr>
        <w:t xml:space="preserve">53 millones de kilómetros </w:t>
      </w:r>
      <w:r w:rsidR="00FE5D7B" w:rsidRPr="00FE5D7B">
        <w:rPr>
          <w:rFonts w:ascii="Arial" w:eastAsia="Arial" w:hAnsi="Arial" w:cs="Arial"/>
          <w:b/>
          <w:i/>
          <w:color w:val="984806" w:themeColor="accent6" w:themeShade="80"/>
          <w:sz w:val="22"/>
          <w:szCs w:val="22"/>
        </w:rPr>
        <w:t xml:space="preserve">recorridos) </w:t>
      </w:r>
      <w:r w:rsidRPr="00FE5D7B">
        <w:rPr>
          <w:rFonts w:ascii="Arial" w:eastAsia="Arial" w:hAnsi="Arial" w:cs="Arial"/>
          <w:b/>
          <w:i/>
          <w:color w:val="984806" w:themeColor="accent6" w:themeShade="80"/>
          <w:sz w:val="22"/>
          <w:szCs w:val="22"/>
        </w:rPr>
        <w:t>como consecuencia de la crisis desatada durante el año anterior</w:t>
      </w:r>
      <w:r w:rsidRPr="00FE5D7B">
        <w:rPr>
          <w:rFonts w:ascii="Arial" w:eastAsia="Arial" w:hAnsi="Arial" w:cs="Arial"/>
          <w:color w:val="984806" w:themeColor="accent6" w:themeShade="80"/>
          <w:sz w:val="22"/>
          <w:szCs w:val="22"/>
        </w:rPr>
        <w:t>.</w:t>
      </w:r>
      <w:r>
        <w:rPr>
          <w:rFonts w:ascii="Arial" w:eastAsia="Arial" w:hAnsi="Arial" w:cs="Arial"/>
          <w:sz w:val="22"/>
          <w:szCs w:val="22"/>
        </w:rPr>
        <w:t xml:space="preserve"> Este gráfico ilustra la evolución de ambos indicadores:</w:t>
      </w:r>
    </w:p>
    <w:p w:rsidR="00993390" w:rsidRPr="00FE5D7B" w:rsidRDefault="00993390" w:rsidP="00F05F43">
      <w:pPr>
        <w:spacing w:after="240"/>
        <w:jc w:val="both"/>
        <w:rPr>
          <w:rFonts w:ascii="Arial" w:eastAsia="Arial" w:hAnsi="Arial" w:cs="Arial"/>
          <w:b/>
          <w:i/>
          <w:color w:val="800000"/>
          <w:sz w:val="22"/>
          <w:szCs w:val="22"/>
        </w:rPr>
      </w:pPr>
    </w:p>
    <w:p w:rsidR="00245E41" w:rsidRDefault="005F31C0">
      <w:pPr>
        <w:spacing w:after="240"/>
        <w:jc w:val="center"/>
        <w:rPr>
          <w:rFonts w:ascii="Arial" w:eastAsia="Arial" w:hAnsi="Arial" w:cs="Arial"/>
          <w:sz w:val="22"/>
          <w:szCs w:val="22"/>
        </w:rPr>
      </w:pPr>
      <w:r>
        <w:rPr>
          <w:rFonts w:ascii="Arial" w:eastAsia="Arial" w:hAnsi="Arial" w:cs="Arial"/>
          <w:noProof/>
          <w:sz w:val="22"/>
          <w:szCs w:val="22"/>
          <w:lang w:val="es-AR"/>
        </w:rPr>
        <w:drawing>
          <wp:inline distT="0" distB="0" distL="114300" distR="114300">
            <wp:extent cx="5143500" cy="3276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143500" cy="3276600"/>
                    </a:xfrm>
                    <a:prstGeom prst="rect">
                      <a:avLst/>
                    </a:prstGeom>
                    <a:ln/>
                  </pic:spPr>
                </pic:pic>
              </a:graphicData>
            </a:graphic>
          </wp:inline>
        </w:drawing>
      </w:r>
    </w:p>
    <w:p w:rsidR="00993390" w:rsidRDefault="00993390">
      <w:pPr>
        <w:spacing w:after="240"/>
        <w:jc w:val="center"/>
        <w:rPr>
          <w:rFonts w:ascii="Arial" w:eastAsia="Arial" w:hAnsi="Arial" w:cs="Arial"/>
          <w:sz w:val="22"/>
          <w:szCs w:val="22"/>
        </w:rPr>
      </w:pPr>
    </w:p>
    <w:p w:rsidR="00245E41" w:rsidRDefault="005F31C0" w:rsidP="00F05F43">
      <w:pPr>
        <w:spacing w:after="240"/>
        <w:jc w:val="both"/>
        <w:rPr>
          <w:rFonts w:ascii="Arial" w:eastAsia="Arial" w:hAnsi="Arial" w:cs="Arial"/>
          <w:sz w:val="22"/>
          <w:szCs w:val="22"/>
        </w:rPr>
      </w:pPr>
      <w:r>
        <w:rPr>
          <w:rFonts w:ascii="Arial" w:eastAsia="Arial" w:hAnsi="Arial" w:cs="Arial"/>
          <w:sz w:val="22"/>
          <w:szCs w:val="22"/>
        </w:rPr>
        <w:t>El contraste es mucho mayor si se compara con los respectivos in</w:t>
      </w:r>
      <w:r>
        <w:rPr>
          <w:rFonts w:ascii="Arial" w:eastAsia="Arial" w:hAnsi="Arial" w:cs="Arial"/>
          <w:sz w:val="22"/>
          <w:szCs w:val="22"/>
        </w:rPr>
        <w:t xml:space="preserve">dicadores máximos. </w:t>
      </w:r>
      <w:r>
        <w:rPr>
          <w:rFonts w:ascii="Arial" w:eastAsia="Arial" w:hAnsi="Arial" w:cs="Arial"/>
          <w:b/>
          <w:i/>
          <w:color w:val="800000"/>
          <w:sz w:val="22"/>
          <w:szCs w:val="22"/>
        </w:rPr>
        <w:t xml:space="preserve">La cantidad de pasajeros pagos en el TUP durante 2019 es inferior en un 58% al máximo de 226 millones de viajes registrados en 1986. </w:t>
      </w:r>
      <w:r>
        <w:rPr>
          <w:rFonts w:ascii="Arial" w:eastAsia="Arial" w:hAnsi="Arial" w:cs="Arial"/>
          <w:sz w:val="22"/>
          <w:szCs w:val="22"/>
        </w:rPr>
        <w:t xml:space="preserve">En cuanto al recorrido anual de las unidades del TUP, </w:t>
      </w:r>
      <w:r>
        <w:rPr>
          <w:rFonts w:ascii="Arial" w:eastAsia="Arial" w:hAnsi="Arial" w:cs="Arial"/>
          <w:b/>
          <w:i/>
          <w:color w:val="800000"/>
          <w:sz w:val="22"/>
          <w:szCs w:val="22"/>
        </w:rPr>
        <w:t>los 47 millones de kilómetros del año 2019 represe</w:t>
      </w:r>
      <w:r>
        <w:rPr>
          <w:rFonts w:ascii="Arial" w:eastAsia="Arial" w:hAnsi="Arial" w:cs="Arial"/>
          <w:b/>
          <w:i/>
          <w:color w:val="800000"/>
          <w:sz w:val="22"/>
          <w:szCs w:val="22"/>
        </w:rPr>
        <w:t>ntan un 44% menos que el máximo de 84 millones de kilómetros registrados durante 1994</w:t>
      </w:r>
      <w:r>
        <w:rPr>
          <w:rFonts w:ascii="Arial" w:eastAsia="Arial" w:hAnsi="Arial" w:cs="Arial"/>
          <w:sz w:val="22"/>
          <w:szCs w:val="22"/>
        </w:rPr>
        <w:t xml:space="preserve">; </w:t>
      </w:r>
      <w:r>
        <w:rPr>
          <w:rFonts w:ascii="Arial" w:eastAsia="Arial" w:hAnsi="Arial" w:cs="Arial"/>
          <w:color w:val="FF0000"/>
          <w:sz w:val="22"/>
          <w:szCs w:val="22"/>
          <w:u w:val="single"/>
        </w:rPr>
        <w:t>esto reviste especial significación dado que este indicador está directamente relacionado con la cantidad de servicios ofrecidos al Público, dejando claro que esto ha im</w:t>
      </w:r>
      <w:r>
        <w:rPr>
          <w:rFonts w:ascii="Arial" w:eastAsia="Arial" w:hAnsi="Arial" w:cs="Arial"/>
          <w:color w:val="FF0000"/>
          <w:sz w:val="22"/>
          <w:szCs w:val="22"/>
          <w:u w:val="single"/>
        </w:rPr>
        <w:t>pactado gravemente en las frecuencias</w:t>
      </w:r>
      <w:r>
        <w:rPr>
          <w:rFonts w:ascii="Arial" w:eastAsia="Arial" w:hAnsi="Arial" w:cs="Arial"/>
          <w:sz w:val="22"/>
          <w:szCs w:val="22"/>
        </w:rPr>
        <w:t>, siendo uno de los factores que notoriamente más desalienta el uso del TUP y que explica esta retracción de cantidad de usuarios que culmina con el desastroso resultado del año 2019.</w:t>
      </w:r>
    </w:p>
    <w:p w:rsidR="00647C4E" w:rsidRDefault="00647C4E" w:rsidP="00647C4E">
      <w:pPr>
        <w:spacing w:after="240"/>
        <w:jc w:val="both"/>
        <w:rPr>
          <w:rFonts w:ascii="Arial" w:eastAsia="Arial" w:hAnsi="Arial" w:cs="Arial"/>
          <w:b/>
          <w:color w:val="800000"/>
          <w:sz w:val="22"/>
          <w:szCs w:val="22"/>
        </w:rPr>
      </w:pPr>
    </w:p>
    <w:p w:rsidR="00647C4E" w:rsidRDefault="00647C4E" w:rsidP="00647C4E">
      <w:pPr>
        <w:spacing w:after="240"/>
        <w:jc w:val="both"/>
        <w:rPr>
          <w:rFonts w:ascii="Arial" w:eastAsia="Arial" w:hAnsi="Arial" w:cs="Arial"/>
          <w:b/>
          <w:color w:val="800000"/>
          <w:sz w:val="22"/>
          <w:szCs w:val="22"/>
        </w:rPr>
      </w:pPr>
    </w:p>
    <w:p w:rsidR="00647C4E" w:rsidRDefault="00647C4E" w:rsidP="00647C4E">
      <w:pPr>
        <w:spacing w:after="240"/>
        <w:jc w:val="both"/>
        <w:rPr>
          <w:rFonts w:ascii="Arial" w:eastAsia="Arial" w:hAnsi="Arial" w:cs="Arial"/>
          <w:b/>
          <w:color w:val="800000"/>
          <w:sz w:val="22"/>
          <w:szCs w:val="22"/>
        </w:rPr>
      </w:pPr>
    </w:p>
    <w:p w:rsidR="00647C4E" w:rsidRDefault="00647C4E" w:rsidP="00647C4E">
      <w:pPr>
        <w:spacing w:after="240"/>
        <w:jc w:val="both"/>
        <w:rPr>
          <w:rFonts w:ascii="Arial" w:eastAsia="Arial" w:hAnsi="Arial" w:cs="Arial"/>
          <w:b/>
          <w:color w:val="800000"/>
          <w:sz w:val="22"/>
          <w:szCs w:val="22"/>
        </w:rPr>
      </w:pPr>
    </w:p>
    <w:p w:rsidR="00245E41" w:rsidRDefault="005F31C0" w:rsidP="00647C4E">
      <w:pPr>
        <w:spacing w:after="240"/>
        <w:jc w:val="both"/>
        <w:rPr>
          <w:rFonts w:ascii="Arial" w:eastAsia="Arial" w:hAnsi="Arial" w:cs="Arial"/>
          <w:sz w:val="22"/>
          <w:szCs w:val="22"/>
        </w:rPr>
      </w:pPr>
      <w:r>
        <w:rPr>
          <w:rFonts w:ascii="Arial" w:eastAsia="Arial" w:hAnsi="Arial" w:cs="Arial"/>
          <w:b/>
          <w:color w:val="800000"/>
          <w:sz w:val="22"/>
          <w:szCs w:val="22"/>
        </w:rPr>
        <w:lastRenderedPageBreak/>
        <w:t xml:space="preserve">Nótese además la caída de las cifras entre 2016 y 2019 como consecuencia de la retracción económica y el recorte de subsidios nacionales durante la administración </w:t>
      </w:r>
      <w:proofErr w:type="spellStart"/>
      <w:r>
        <w:rPr>
          <w:rFonts w:ascii="Arial" w:eastAsia="Arial" w:hAnsi="Arial" w:cs="Arial"/>
          <w:b/>
          <w:color w:val="800000"/>
          <w:sz w:val="22"/>
          <w:szCs w:val="22"/>
        </w:rPr>
        <w:t>Macri</w:t>
      </w:r>
      <w:proofErr w:type="spellEnd"/>
      <w:r>
        <w:rPr>
          <w:rFonts w:ascii="Arial" w:eastAsia="Arial" w:hAnsi="Arial" w:cs="Arial"/>
          <w:sz w:val="22"/>
          <w:szCs w:val="22"/>
        </w:rPr>
        <w:t>, con impacto directo e</w:t>
      </w:r>
      <w:r>
        <w:rPr>
          <w:rFonts w:ascii="Arial" w:eastAsia="Arial" w:hAnsi="Arial" w:cs="Arial"/>
          <w:sz w:val="22"/>
          <w:szCs w:val="22"/>
        </w:rPr>
        <w:t>n el aumento desproporcionado de la tarifa del TUP y su correlato en la baja de pasajeros. Esto afectó al índice pasajero / kilómetro, indicador fundamental para el cálculo del costo del servicio del TUP. La siguiente gráfica muestra su evolución durante l</w:t>
      </w:r>
      <w:r>
        <w:rPr>
          <w:rFonts w:ascii="Arial" w:eastAsia="Arial" w:hAnsi="Arial" w:cs="Arial"/>
          <w:sz w:val="22"/>
          <w:szCs w:val="22"/>
        </w:rPr>
        <w:t>os últimos años según indicadores oficiales:</w:t>
      </w:r>
    </w:p>
    <w:p w:rsidR="00993390" w:rsidRDefault="00993390" w:rsidP="00647C4E">
      <w:pPr>
        <w:spacing w:after="240"/>
        <w:jc w:val="both"/>
        <w:rPr>
          <w:rFonts w:ascii="Arial" w:eastAsia="Arial" w:hAnsi="Arial" w:cs="Arial"/>
          <w:sz w:val="22"/>
          <w:szCs w:val="22"/>
        </w:rPr>
      </w:pPr>
      <w:bookmarkStart w:id="0" w:name="_GoBack"/>
      <w:bookmarkEnd w:id="0"/>
    </w:p>
    <w:p w:rsidR="00245E41" w:rsidRDefault="005F31C0">
      <w:pPr>
        <w:spacing w:after="240"/>
        <w:jc w:val="center"/>
        <w:rPr>
          <w:rFonts w:ascii="Arial" w:eastAsia="Arial" w:hAnsi="Arial" w:cs="Arial"/>
          <w:sz w:val="22"/>
          <w:szCs w:val="22"/>
        </w:rPr>
      </w:pPr>
      <w:r>
        <w:rPr>
          <w:rFonts w:ascii="Arial" w:eastAsia="Arial" w:hAnsi="Arial" w:cs="Arial"/>
          <w:noProof/>
          <w:sz w:val="22"/>
          <w:szCs w:val="22"/>
          <w:lang w:val="es-AR"/>
        </w:rPr>
        <w:drawing>
          <wp:inline distT="0" distB="0" distL="114300" distR="114300">
            <wp:extent cx="5084445" cy="22447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084445" cy="2244725"/>
                    </a:xfrm>
                    <a:prstGeom prst="rect">
                      <a:avLst/>
                    </a:prstGeom>
                    <a:ln/>
                  </pic:spPr>
                </pic:pic>
              </a:graphicData>
            </a:graphic>
          </wp:inline>
        </w:drawing>
      </w:r>
    </w:p>
    <w:p w:rsidR="00245E41" w:rsidRDefault="005F31C0">
      <w:pPr>
        <w:spacing w:after="240"/>
        <w:ind w:firstLine="181"/>
        <w:jc w:val="both"/>
        <w:rPr>
          <w:rFonts w:ascii="Arial" w:eastAsia="Arial" w:hAnsi="Arial" w:cs="Arial"/>
          <w:sz w:val="22"/>
          <w:szCs w:val="22"/>
        </w:rPr>
      </w:pPr>
      <w:r>
        <w:rPr>
          <w:rFonts w:ascii="Arial" w:eastAsia="Arial" w:hAnsi="Arial" w:cs="Arial"/>
          <w:sz w:val="22"/>
          <w:szCs w:val="22"/>
        </w:rPr>
        <w:t xml:space="preserve">La evolución de la distribución de subsidios durante 2016-2019 muestra la </w:t>
      </w:r>
      <w:r>
        <w:rPr>
          <w:rFonts w:ascii="Arial" w:eastAsia="Arial" w:hAnsi="Arial" w:cs="Arial"/>
          <w:b/>
          <w:color w:val="800000"/>
          <w:sz w:val="22"/>
          <w:szCs w:val="22"/>
        </w:rPr>
        <w:t xml:space="preserve">baja del aporte de la Nación durante la administración </w:t>
      </w:r>
      <w:proofErr w:type="spellStart"/>
      <w:r>
        <w:rPr>
          <w:rFonts w:ascii="Arial" w:eastAsia="Arial" w:hAnsi="Arial" w:cs="Arial"/>
          <w:b/>
          <w:color w:val="800000"/>
          <w:sz w:val="22"/>
          <w:szCs w:val="22"/>
        </w:rPr>
        <w:t>Macri</w:t>
      </w:r>
      <w:proofErr w:type="spellEnd"/>
      <w:r>
        <w:rPr>
          <w:rFonts w:ascii="Arial" w:eastAsia="Arial" w:hAnsi="Arial" w:cs="Arial"/>
          <w:sz w:val="22"/>
          <w:szCs w:val="22"/>
        </w:rPr>
        <w:t>, el relativo mantenimiento de los aportes por parte de la Municipalidad, y</w:t>
      </w:r>
      <w:r>
        <w:rPr>
          <w:rFonts w:ascii="Arial" w:eastAsia="Arial" w:hAnsi="Arial" w:cs="Arial"/>
          <w:sz w:val="22"/>
          <w:szCs w:val="22"/>
        </w:rPr>
        <w:t xml:space="preserve"> el aumento extraordinario del aporte de la Provincia durante 2019 -que pese a todo no logró compensar la caída del subsidio nacional-; luego en Febrero 2020 destaca la </w:t>
      </w:r>
      <w:r>
        <w:rPr>
          <w:rFonts w:ascii="Arial" w:eastAsia="Arial" w:hAnsi="Arial" w:cs="Arial"/>
          <w:b/>
          <w:color w:val="003300"/>
          <w:sz w:val="22"/>
          <w:szCs w:val="22"/>
        </w:rPr>
        <w:t>recuperación dispuesta por la nueva administración nacional desde Diciembre de 2019</w:t>
      </w:r>
      <w:r>
        <w:rPr>
          <w:rFonts w:ascii="Arial" w:eastAsia="Arial" w:hAnsi="Arial" w:cs="Arial"/>
          <w:sz w:val="22"/>
          <w:szCs w:val="22"/>
        </w:rPr>
        <w:t>, qu</w:t>
      </w:r>
      <w:r>
        <w:rPr>
          <w:rFonts w:ascii="Arial" w:eastAsia="Arial" w:hAnsi="Arial" w:cs="Arial"/>
          <w:sz w:val="22"/>
          <w:szCs w:val="22"/>
        </w:rPr>
        <w:t>e aún no refleja su real impacto dados los apenas tres meses transcurridos desde su instrumentación. La tabla siguiente muestra la participación proporcional de los subsidios aportados respecto del total del costo del TUP local:</w:t>
      </w:r>
    </w:p>
    <w:tbl>
      <w:tblPr>
        <w:tblStyle w:val="a"/>
        <w:tblW w:w="101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5"/>
        <w:gridCol w:w="1418"/>
        <w:gridCol w:w="1418"/>
        <w:gridCol w:w="1418"/>
        <w:gridCol w:w="1418"/>
        <w:gridCol w:w="1418"/>
      </w:tblGrid>
      <w:tr w:rsidR="00245E41">
        <w:trPr>
          <w:jc w:val="center"/>
        </w:trPr>
        <w:tc>
          <w:tcPr>
            <w:tcW w:w="3025" w:type="dxa"/>
            <w:vAlign w:val="center"/>
          </w:tcPr>
          <w:p w:rsidR="00245E41" w:rsidRDefault="005F31C0">
            <w:pPr>
              <w:ind w:left="-57" w:right="-57"/>
              <w:jc w:val="center"/>
              <w:rPr>
                <w:rFonts w:ascii="Arial" w:eastAsia="Arial" w:hAnsi="Arial" w:cs="Arial"/>
                <w:sz w:val="20"/>
                <w:szCs w:val="20"/>
              </w:rPr>
            </w:pPr>
            <w:r>
              <w:rPr>
                <w:rFonts w:ascii="Arial" w:eastAsia="Arial" w:hAnsi="Arial" w:cs="Arial"/>
                <w:b/>
                <w:sz w:val="20"/>
                <w:szCs w:val="20"/>
              </w:rPr>
              <w:t>Media anual de subsidios</w:t>
            </w:r>
          </w:p>
          <w:p w:rsidR="00245E41" w:rsidRDefault="005F31C0">
            <w:pPr>
              <w:ind w:left="-57" w:right="-57"/>
              <w:jc w:val="center"/>
              <w:rPr>
                <w:rFonts w:ascii="Arial" w:eastAsia="Arial" w:hAnsi="Arial" w:cs="Arial"/>
                <w:sz w:val="20"/>
                <w:szCs w:val="20"/>
              </w:rPr>
            </w:pPr>
            <w:r>
              <w:rPr>
                <w:rFonts w:ascii="Arial" w:eastAsia="Arial" w:hAnsi="Arial" w:cs="Arial"/>
                <w:b/>
                <w:sz w:val="20"/>
                <w:szCs w:val="20"/>
              </w:rPr>
              <w:t>(p</w:t>
            </w:r>
            <w:r>
              <w:rPr>
                <w:rFonts w:ascii="Arial" w:eastAsia="Arial" w:hAnsi="Arial" w:cs="Arial"/>
                <w:b/>
                <w:sz w:val="20"/>
                <w:szCs w:val="20"/>
              </w:rPr>
              <w:t>or procedencia)</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b/>
                <w:sz w:val="20"/>
                <w:szCs w:val="20"/>
              </w:rPr>
              <w:t>Año 2016</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b/>
                <w:sz w:val="20"/>
                <w:szCs w:val="20"/>
              </w:rPr>
              <w:t>Año 2017</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b/>
                <w:sz w:val="20"/>
                <w:szCs w:val="20"/>
              </w:rPr>
              <w:t>Año 2018</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b/>
                <w:sz w:val="20"/>
                <w:szCs w:val="20"/>
              </w:rPr>
              <w:t>Año 2019</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b/>
                <w:sz w:val="20"/>
                <w:szCs w:val="20"/>
              </w:rPr>
              <w:t>Año 2020</w:t>
            </w:r>
          </w:p>
          <w:p w:rsidR="00245E41" w:rsidRDefault="005F31C0">
            <w:pPr>
              <w:ind w:left="-57" w:right="-57"/>
              <w:jc w:val="center"/>
              <w:rPr>
                <w:rFonts w:ascii="Arial" w:eastAsia="Arial" w:hAnsi="Arial" w:cs="Arial"/>
                <w:sz w:val="20"/>
                <w:szCs w:val="20"/>
              </w:rPr>
            </w:pPr>
            <w:r>
              <w:rPr>
                <w:rFonts w:ascii="Arial" w:eastAsia="Arial" w:hAnsi="Arial" w:cs="Arial"/>
                <w:b/>
                <w:sz w:val="20"/>
                <w:szCs w:val="20"/>
              </w:rPr>
              <w:t>(parcial)</w:t>
            </w:r>
          </w:p>
        </w:tc>
      </w:tr>
      <w:tr w:rsidR="00245E41">
        <w:trPr>
          <w:jc w:val="center"/>
        </w:trPr>
        <w:tc>
          <w:tcPr>
            <w:tcW w:w="3025"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Municipal</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11,2 %</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10,7 %</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11,5 %</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11,6 %</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7,3 %</w:t>
            </w:r>
          </w:p>
        </w:tc>
      </w:tr>
      <w:tr w:rsidR="00245E41">
        <w:trPr>
          <w:jc w:val="center"/>
        </w:trPr>
        <w:tc>
          <w:tcPr>
            <w:tcW w:w="3025"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Provincial</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2,8 %</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3,1 %</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3,1 %</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11,7 %</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6,8 %</w:t>
            </w:r>
          </w:p>
        </w:tc>
      </w:tr>
      <w:tr w:rsidR="00245E41">
        <w:trPr>
          <w:jc w:val="center"/>
        </w:trPr>
        <w:tc>
          <w:tcPr>
            <w:tcW w:w="3025"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Nacional</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31,8 %</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31,6 %</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28,1 %</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8,0 %</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sz w:val="20"/>
                <w:szCs w:val="20"/>
              </w:rPr>
              <w:t>16,5 %</w:t>
            </w:r>
          </w:p>
        </w:tc>
      </w:tr>
      <w:tr w:rsidR="00245E41">
        <w:trPr>
          <w:jc w:val="center"/>
        </w:trPr>
        <w:tc>
          <w:tcPr>
            <w:tcW w:w="3025" w:type="dxa"/>
            <w:vAlign w:val="center"/>
          </w:tcPr>
          <w:p w:rsidR="00245E41" w:rsidRDefault="005F31C0">
            <w:pPr>
              <w:ind w:left="-57" w:right="-57"/>
              <w:jc w:val="right"/>
              <w:rPr>
                <w:rFonts w:ascii="Arial" w:eastAsia="Arial" w:hAnsi="Arial" w:cs="Arial"/>
                <w:sz w:val="20"/>
                <w:szCs w:val="20"/>
              </w:rPr>
            </w:pPr>
            <w:r>
              <w:rPr>
                <w:rFonts w:ascii="Arial" w:eastAsia="Arial" w:hAnsi="Arial" w:cs="Arial"/>
                <w:b/>
                <w:i/>
                <w:sz w:val="20"/>
                <w:szCs w:val="20"/>
              </w:rPr>
              <w:t>Total subsidios al TUP</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b/>
                <w:i/>
                <w:sz w:val="20"/>
                <w:szCs w:val="20"/>
              </w:rPr>
              <w:t>45,8 %</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b/>
                <w:i/>
                <w:sz w:val="20"/>
                <w:szCs w:val="20"/>
              </w:rPr>
              <w:t>45,4 %</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b/>
                <w:i/>
                <w:sz w:val="20"/>
                <w:szCs w:val="20"/>
              </w:rPr>
              <w:t>42,7 %</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b/>
                <w:i/>
                <w:sz w:val="20"/>
                <w:szCs w:val="20"/>
              </w:rPr>
              <w:t>31,3 %</w:t>
            </w:r>
          </w:p>
        </w:tc>
        <w:tc>
          <w:tcPr>
            <w:tcW w:w="1418" w:type="dxa"/>
            <w:vAlign w:val="center"/>
          </w:tcPr>
          <w:p w:rsidR="00245E41" w:rsidRDefault="005F31C0">
            <w:pPr>
              <w:ind w:left="-57" w:right="-57"/>
              <w:jc w:val="center"/>
              <w:rPr>
                <w:rFonts w:ascii="Arial" w:eastAsia="Arial" w:hAnsi="Arial" w:cs="Arial"/>
                <w:sz w:val="20"/>
                <w:szCs w:val="20"/>
              </w:rPr>
            </w:pPr>
            <w:r>
              <w:rPr>
                <w:rFonts w:ascii="Arial" w:eastAsia="Arial" w:hAnsi="Arial" w:cs="Arial"/>
                <w:b/>
                <w:i/>
                <w:sz w:val="20"/>
                <w:szCs w:val="20"/>
              </w:rPr>
              <w:t>30,6 %</w:t>
            </w:r>
          </w:p>
        </w:tc>
      </w:tr>
    </w:tbl>
    <w:p w:rsidR="00245E41" w:rsidRDefault="00245E41">
      <w:pPr>
        <w:spacing w:after="240"/>
        <w:jc w:val="both"/>
        <w:rPr>
          <w:rFonts w:ascii="Arial" w:eastAsia="Arial" w:hAnsi="Arial" w:cs="Arial"/>
          <w:sz w:val="22"/>
          <w:szCs w:val="22"/>
        </w:rPr>
      </w:pPr>
    </w:p>
    <w:p w:rsidR="00245E41" w:rsidRDefault="005F31C0">
      <w:pPr>
        <w:spacing w:after="240"/>
        <w:ind w:firstLine="181"/>
        <w:jc w:val="both"/>
        <w:rPr>
          <w:rFonts w:ascii="Arial" w:eastAsia="Arial" w:hAnsi="Arial" w:cs="Arial"/>
          <w:sz w:val="22"/>
          <w:szCs w:val="22"/>
        </w:rPr>
      </w:pPr>
      <w:r>
        <w:rPr>
          <w:rFonts w:ascii="Arial" w:eastAsia="Arial" w:hAnsi="Arial" w:cs="Arial"/>
          <w:sz w:val="22"/>
          <w:szCs w:val="22"/>
        </w:rPr>
        <w:t xml:space="preserve">Se reitera que </w:t>
      </w:r>
      <w:r>
        <w:rPr>
          <w:rFonts w:ascii="Arial" w:eastAsia="Arial" w:hAnsi="Arial" w:cs="Arial"/>
          <w:b/>
          <w:sz w:val="22"/>
          <w:szCs w:val="22"/>
          <w:u w:val="single"/>
        </w:rPr>
        <w:t>este panorama refleja la situación al mes de Febrero de 2020, no incluyendo el impacto ulterior de la pandemia del virus Covid-19</w:t>
      </w:r>
      <w:r>
        <w:rPr>
          <w:rFonts w:ascii="Arial" w:eastAsia="Arial" w:hAnsi="Arial" w:cs="Arial"/>
          <w:sz w:val="22"/>
          <w:szCs w:val="22"/>
        </w:rPr>
        <w:t>, que obligó al establecimiento de medidas de cuarentena que, con diversos grados de aplicación a lo la</w:t>
      </w:r>
      <w:r>
        <w:rPr>
          <w:rFonts w:ascii="Arial" w:eastAsia="Arial" w:hAnsi="Arial" w:cs="Arial"/>
          <w:sz w:val="22"/>
          <w:szCs w:val="22"/>
        </w:rPr>
        <w:t>rgo de los últimos meses, han necesariamente reducido las actividades de la Comunidad y lo que requerirá de un cuidadoso seguimiento para sostener al Transporte Público, compromiso al que estamos firmemente adheridos.</w:t>
      </w:r>
    </w:p>
    <w:p w:rsidR="00245E41" w:rsidRDefault="005F31C0">
      <w:pPr>
        <w:spacing w:after="240"/>
        <w:jc w:val="right"/>
        <w:rPr>
          <w:rFonts w:ascii="Arial" w:eastAsia="Arial" w:hAnsi="Arial" w:cs="Arial"/>
        </w:rPr>
      </w:pPr>
      <w:r>
        <w:rPr>
          <w:rFonts w:ascii="Arial" w:eastAsia="Arial" w:hAnsi="Arial" w:cs="Arial"/>
          <w:b/>
          <w:i/>
          <w:sz w:val="26"/>
          <w:szCs w:val="26"/>
        </w:rPr>
        <w:t>Observatorio Social del Transporte</w:t>
      </w:r>
    </w:p>
    <w:sectPr w:rsidR="00245E41">
      <w:headerReference w:type="default" r:id="rId8"/>
      <w:footerReference w:type="default" r:id="rId9"/>
      <w:pgSz w:w="11906" w:h="16838"/>
      <w:pgMar w:top="1418" w:right="567" w:bottom="567" w:left="567" w:header="567"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1C0" w:rsidRDefault="005F31C0">
      <w:r>
        <w:separator/>
      </w:r>
    </w:p>
  </w:endnote>
  <w:endnote w:type="continuationSeparator" w:id="0">
    <w:p w:rsidR="005F31C0" w:rsidRDefault="005F3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E41" w:rsidRDefault="005F31C0">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sidR="00F05F43">
      <w:rPr>
        <w:rFonts w:ascii="Arial" w:eastAsia="Arial" w:hAnsi="Arial" w:cs="Arial"/>
        <w:color w:val="000000"/>
        <w:sz w:val="20"/>
        <w:szCs w:val="20"/>
      </w:rPr>
      <w:fldChar w:fldCharType="separate"/>
    </w:r>
    <w:r w:rsidR="00993390">
      <w:rPr>
        <w:rFonts w:ascii="Arial" w:eastAsia="Arial" w:hAnsi="Arial" w:cs="Arial"/>
        <w:noProof/>
        <w:color w:val="000000"/>
        <w:sz w:val="20"/>
        <w:szCs w:val="20"/>
      </w:rPr>
      <w:t>2</w:t>
    </w:r>
    <w:r>
      <w:rPr>
        <w:rFonts w:ascii="Arial" w:eastAsia="Arial" w:hAnsi="Arial" w:cs="Arial"/>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1C0" w:rsidRDefault="005F31C0">
      <w:r>
        <w:separator/>
      </w:r>
    </w:p>
  </w:footnote>
  <w:footnote w:type="continuationSeparator" w:id="0">
    <w:p w:rsidR="005F31C0" w:rsidRDefault="005F31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E41" w:rsidRDefault="005F31C0">
    <w:pPr>
      <w:rPr>
        <w:rFonts w:ascii="Arial" w:eastAsia="Arial" w:hAnsi="Arial" w:cs="Arial"/>
        <w:sz w:val="32"/>
        <w:szCs w:val="32"/>
      </w:rPr>
    </w:pPr>
    <w:r>
      <w:rPr>
        <w:rFonts w:ascii="Arial" w:eastAsia="Arial" w:hAnsi="Arial" w:cs="Arial"/>
        <w:b/>
        <w:sz w:val="32"/>
        <w:szCs w:val="32"/>
      </w:rPr>
      <w:t>OBSERVATORIO SOCIAL DEL TRANSPORTE</w:t>
    </w:r>
  </w:p>
  <w:p w:rsidR="00245E41" w:rsidRDefault="00F05F43">
    <w:pPr>
      <w:rPr>
        <w:rFonts w:ascii="Arial" w:eastAsia="Arial" w:hAnsi="Arial" w:cs="Arial"/>
        <w:sz w:val="22"/>
        <w:szCs w:val="22"/>
      </w:rPr>
    </w:pPr>
    <w:r>
      <w:rPr>
        <w:rFonts w:ascii="Arial" w:eastAsia="Arial" w:hAnsi="Arial" w:cs="Arial"/>
        <w:b/>
        <w:sz w:val="22"/>
        <w:szCs w:val="22"/>
      </w:rPr>
      <w:t>Informe del mes de J</w:t>
    </w:r>
    <w:r w:rsidR="005F31C0">
      <w:rPr>
        <w:rFonts w:ascii="Arial" w:eastAsia="Arial" w:hAnsi="Arial" w:cs="Arial"/>
        <w:b/>
        <w:sz w:val="22"/>
        <w:szCs w:val="22"/>
      </w:rPr>
      <w:t>ulio de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E41"/>
    <w:rsid w:val="00245E41"/>
    <w:rsid w:val="005F31C0"/>
    <w:rsid w:val="0064391B"/>
    <w:rsid w:val="00647C4E"/>
    <w:rsid w:val="00993390"/>
    <w:rsid w:val="00D330E7"/>
    <w:rsid w:val="00F05F43"/>
    <w:rsid w:val="00FE5D7B"/>
    <w:rsid w:val="00FE6B4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A9E63C-3ECF-491E-8586-A3EE976BA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F05F43"/>
    <w:pPr>
      <w:tabs>
        <w:tab w:val="center" w:pos="4252"/>
        <w:tab w:val="right" w:pos="8504"/>
      </w:tabs>
    </w:pPr>
  </w:style>
  <w:style w:type="character" w:customStyle="1" w:styleId="EncabezadoCar">
    <w:name w:val="Encabezado Car"/>
    <w:basedOn w:val="Fuentedeprrafopredeter"/>
    <w:link w:val="Encabezado"/>
    <w:uiPriority w:val="99"/>
    <w:rsid w:val="00F05F43"/>
  </w:style>
  <w:style w:type="paragraph" w:styleId="Piedepgina">
    <w:name w:val="footer"/>
    <w:basedOn w:val="Normal"/>
    <w:link w:val="PiedepginaCar"/>
    <w:uiPriority w:val="99"/>
    <w:unhideWhenUsed/>
    <w:rsid w:val="00F05F43"/>
    <w:pPr>
      <w:tabs>
        <w:tab w:val="center" w:pos="4252"/>
        <w:tab w:val="right" w:pos="8504"/>
      </w:tabs>
    </w:pPr>
  </w:style>
  <w:style w:type="character" w:customStyle="1" w:styleId="PiedepginaCar">
    <w:name w:val="Pie de página Car"/>
    <w:basedOn w:val="Fuentedeprrafopredeter"/>
    <w:link w:val="Piedepgina"/>
    <w:uiPriority w:val="99"/>
    <w:rsid w:val="00F05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627</Words>
  <Characters>3453</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dc:creator>
  <cp:lastModifiedBy>Eduardo</cp:lastModifiedBy>
  <cp:revision>2</cp:revision>
  <dcterms:created xsi:type="dcterms:W3CDTF">2020-07-06T21:20:00Z</dcterms:created>
  <dcterms:modified xsi:type="dcterms:W3CDTF">2020-07-06T21:20:00Z</dcterms:modified>
</cp:coreProperties>
</file>